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4BD8" w14:textId="77777777" w:rsidR="00FE2249" w:rsidRDefault="00000000">
      <w:pPr>
        <w:pStyle w:val="Ttulo"/>
      </w:pPr>
      <w:bookmarkStart w:id="0" w:name="_2bcuurrpv8he" w:colFirst="0" w:colLast="0"/>
      <w:bookmarkEnd w:id="0"/>
      <w:r>
        <w:t xml:space="preserve">Second </w:t>
      </w:r>
      <w:proofErr w:type="spellStart"/>
      <w:r>
        <w:t>Victims</w:t>
      </w:r>
      <w:proofErr w:type="spellEnd"/>
      <w:r>
        <w:t xml:space="preserve"> in Industries </w:t>
      </w:r>
      <w:proofErr w:type="spellStart"/>
      <w:r>
        <w:t>beyond</w:t>
      </w:r>
      <w:proofErr w:type="spellEnd"/>
      <w:r>
        <w:t xml:space="preserve"> Healthcare: a </w:t>
      </w:r>
      <w:proofErr w:type="spellStart"/>
      <w:r>
        <w:t>Scoping</w:t>
      </w:r>
      <w:proofErr w:type="spellEnd"/>
      <w:r>
        <w:t xml:space="preserve"> Review.</w:t>
      </w:r>
    </w:p>
    <w:p w14:paraId="53378AB7" w14:textId="77777777" w:rsidR="00FE2249" w:rsidRDefault="00FE2249"/>
    <w:p w14:paraId="14D16D58" w14:textId="77777777" w:rsidR="00FE2249" w:rsidRDefault="00000000">
      <w:r>
        <w:t>AUTHORS</w:t>
      </w:r>
    </w:p>
    <w:p w14:paraId="415C7ACC" w14:textId="77777777" w:rsidR="00FE2249" w:rsidRDefault="00FE2249"/>
    <w:p w14:paraId="13DFB5EF" w14:textId="77777777" w:rsidR="00FE2249" w:rsidRDefault="00000000">
      <w:pPr>
        <w:pStyle w:val="Ttulo1"/>
      </w:pPr>
      <w:bookmarkStart w:id="1" w:name="_m3ce6kaczx2" w:colFirst="0" w:colLast="0"/>
      <w:bookmarkEnd w:id="1"/>
      <w:r>
        <w:br w:type="page"/>
      </w:r>
    </w:p>
    <w:p w14:paraId="085352CA" w14:textId="77777777" w:rsidR="00FE2249" w:rsidRDefault="00000000">
      <w:pPr>
        <w:pStyle w:val="Ttulo1"/>
      </w:pPr>
      <w:bookmarkStart w:id="2" w:name="_1grorijrbmue" w:colFirst="0" w:colLast="0"/>
      <w:bookmarkEnd w:id="2"/>
      <w:commentRangeStart w:id="3"/>
      <w:proofErr w:type="spellStart"/>
      <w:r>
        <w:lastRenderedPageBreak/>
        <w:t>Introduction</w:t>
      </w:r>
      <w:commentRangeEnd w:id="3"/>
      <w:proofErr w:type="spellEnd"/>
      <w:r w:rsidR="00A42C71">
        <w:rPr>
          <w:rStyle w:val="Refdecomentario"/>
          <w:b w:val="0"/>
        </w:rPr>
        <w:commentReference w:id="3"/>
      </w:r>
    </w:p>
    <w:p w14:paraId="7F9BD55D" w14:textId="77777777" w:rsidR="00FE2249" w:rsidRDefault="00FE2249"/>
    <w:p w14:paraId="185543A7" w14:textId="77777777" w:rsidR="00FE2249" w:rsidRDefault="00000000">
      <w:pPr>
        <w:pStyle w:val="Ttulo1"/>
      </w:pPr>
      <w:bookmarkStart w:id="4" w:name="_8ddc41f2hw2u" w:colFirst="0" w:colLast="0"/>
      <w:bookmarkEnd w:id="4"/>
      <w:r>
        <w:br w:type="page"/>
      </w:r>
    </w:p>
    <w:p w14:paraId="1A1122AE" w14:textId="77777777" w:rsidR="00FE2249" w:rsidRDefault="00000000">
      <w:pPr>
        <w:pStyle w:val="Ttulo1"/>
      </w:pPr>
      <w:bookmarkStart w:id="5" w:name="_nz23795cjf7i" w:colFirst="0" w:colLast="0"/>
      <w:bookmarkEnd w:id="5"/>
      <w:proofErr w:type="spellStart"/>
      <w:r>
        <w:lastRenderedPageBreak/>
        <w:t>Materials</w:t>
      </w:r>
      <w:proofErr w:type="spellEnd"/>
      <w:r>
        <w:t xml:space="preserve"> and </w:t>
      </w:r>
      <w:proofErr w:type="spellStart"/>
      <w:r>
        <w:t>methods</w:t>
      </w:r>
      <w:proofErr w:type="spellEnd"/>
    </w:p>
    <w:p w14:paraId="1E6C2BDA" w14:textId="77777777" w:rsidR="00FE2249" w:rsidRDefault="00000000">
      <w:pPr>
        <w:ind w:firstLine="720"/>
      </w:pPr>
      <w:r>
        <w:t xml:space="preserve">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scoping</w:t>
      </w:r>
      <w:proofErr w:type="spellEnd"/>
      <w:r>
        <w:t xml:space="preserve"> review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and </w:t>
      </w:r>
      <w:proofErr w:type="spellStart"/>
      <w:r>
        <w:t>conducted</w:t>
      </w:r>
      <w:proofErr w:type="spellEnd"/>
      <w:r>
        <w:t xml:space="preserve"> following the Joanna Briggs Institute guidelines [</w:t>
      </w:r>
      <w:r>
        <w:rPr>
          <w:shd w:val="clear" w:color="auto" w:fill="CCCCCC"/>
        </w:rPr>
        <w:t>Pollock 2023</w:t>
      </w:r>
      <w:r>
        <w:t xml:space="preserve">], and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PRISMA-</w:t>
      </w:r>
      <w:proofErr w:type="spellStart"/>
      <w:r>
        <w:t>ScR</w:t>
      </w:r>
      <w:proofErr w:type="spellEnd"/>
      <w:r>
        <w:t xml:space="preserve"> checklist [</w:t>
      </w:r>
      <w:proofErr w:type="spellStart"/>
      <w:r>
        <w:rPr>
          <w:shd w:val="clear" w:color="auto" w:fill="CCCCCC"/>
        </w:rPr>
        <w:t>Tricco</w:t>
      </w:r>
      <w:proofErr w:type="spellEnd"/>
      <w:r>
        <w:rPr>
          <w:shd w:val="clear" w:color="auto" w:fill="CCCCCC"/>
        </w:rPr>
        <w:t xml:space="preserve"> 2018</w:t>
      </w:r>
      <w:r>
        <w:t>]. The PCC (</w:t>
      </w:r>
      <w:proofErr w:type="spellStart"/>
      <w:r>
        <w:t>Population</w:t>
      </w:r>
      <w:proofErr w:type="spellEnd"/>
      <w:r>
        <w:t xml:space="preserve">, Concept, </w:t>
      </w:r>
      <w:proofErr w:type="spellStart"/>
      <w:r>
        <w:t>Context</w:t>
      </w:r>
      <w:proofErr w:type="spellEnd"/>
      <w:r>
        <w:t xml:space="preserve">) framework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to </w:t>
      </w:r>
      <w:proofErr w:type="spellStart"/>
      <w:r>
        <w:t>construct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and </w:t>
      </w:r>
      <w:proofErr w:type="spellStart"/>
      <w:r>
        <w:t>selection</w:t>
      </w:r>
      <w:proofErr w:type="spellEnd"/>
      <w:r>
        <w:t xml:space="preserve"> </w:t>
      </w:r>
      <w:commentRangeStart w:id="6"/>
      <w:proofErr w:type="spellStart"/>
      <w:r>
        <w:t>criteria</w:t>
      </w:r>
      <w:commentRangeEnd w:id="6"/>
      <w:proofErr w:type="spellEnd"/>
      <w:r w:rsidR="00A42C71">
        <w:rPr>
          <w:rStyle w:val="Refdecomentario"/>
        </w:rPr>
        <w:commentReference w:id="6"/>
      </w:r>
      <w:r>
        <w:t>.</w:t>
      </w:r>
    </w:p>
    <w:p w14:paraId="36DB1E57" w14:textId="77777777" w:rsidR="00FE2249" w:rsidRDefault="00FE2249"/>
    <w:p w14:paraId="0F27C8C6" w14:textId="77777777" w:rsidR="00FE2249" w:rsidRDefault="00000000">
      <w:pPr>
        <w:pStyle w:val="Ttulo2"/>
      </w:pPr>
      <w:bookmarkStart w:id="7" w:name="_6n9ubjppnwa4" w:colFirst="0" w:colLast="0"/>
      <w:bookmarkEnd w:id="7"/>
      <w:proofErr w:type="spellStart"/>
      <w:r>
        <w:t>Eligibility</w:t>
      </w:r>
      <w:proofErr w:type="spellEnd"/>
      <w:r>
        <w:t xml:space="preserve"> </w:t>
      </w:r>
      <w:proofErr w:type="spellStart"/>
      <w:r>
        <w:t>criteria</w:t>
      </w:r>
      <w:proofErr w:type="spellEnd"/>
    </w:p>
    <w:p w14:paraId="044E0D41" w14:textId="77777777" w:rsidR="00FE2249" w:rsidRDefault="00000000">
      <w:pPr>
        <w:pStyle w:val="Ttulo3"/>
      </w:pPr>
      <w:bookmarkStart w:id="8" w:name="_8ci1te3rqc6v" w:colFirst="0" w:colLast="0"/>
      <w:bookmarkEnd w:id="8"/>
      <w:proofErr w:type="spellStart"/>
      <w:r>
        <w:t>Population</w:t>
      </w:r>
      <w:proofErr w:type="spellEnd"/>
    </w:p>
    <w:p w14:paraId="415F285E" w14:textId="77777777" w:rsidR="00FE2249" w:rsidRDefault="00000000">
      <w:pPr>
        <w:ind w:firstLine="720"/>
      </w:pPr>
      <w:r>
        <w:t xml:space="preserve">The </w:t>
      </w:r>
      <w:proofErr w:type="spellStart"/>
      <w:r>
        <w:t>population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are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active</w:t>
      </w:r>
      <w:proofErr w:type="spellEnd"/>
      <w:r>
        <w:t xml:space="preserve"> workers,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sex and age </w:t>
      </w:r>
      <w:proofErr w:type="spellStart"/>
      <w:r>
        <w:t>performing</w:t>
      </w:r>
      <w:proofErr w:type="spellEnd"/>
      <w:r>
        <w:t xml:space="preserve"> activities to produce </w:t>
      </w:r>
      <w:proofErr w:type="spellStart"/>
      <w:r>
        <w:t>goods</w:t>
      </w:r>
      <w:proofErr w:type="spellEnd"/>
      <w:r>
        <w:t xml:space="preserve"> or to </w:t>
      </w:r>
      <w:proofErr w:type="spellStart"/>
      <w:r>
        <w:t>provide</w:t>
      </w:r>
      <w:proofErr w:type="spellEnd"/>
      <w:r>
        <w:t xml:space="preserve"> services for use by </w:t>
      </w:r>
      <w:proofErr w:type="spellStart"/>
      <w:r>
        <w:t>others</w:t>
      </w:r>
      <w:proofErr w:type="spellEnd"/>
      <w:r>
        <w:t xml:space="preserve"> or for </w:t>
      </w:r>
      <w:proofErr w:type="spellStart"/>
      <w:r>
        <w:t>own</w:t>
      </w:r>
      <w:proofErr w:type="spellEnd"/>
      <w:r>
        <w:t xml:space="preserve"> use [</w:t>
      </w:r>
      <w:r>
        <w:rPr>
          <w:shd w:val="clear" w:color="auto" w:fill="CCCCCC"/>
        </w:rPr>
        <w:t xml:space="preserve">Department of </w:t>
      </w:r>
      <w:proofErr w:type="spellStart"/>
      <w:r>
        <w:rPr>
          <w:shd w:val="clear" w:color="auto" w:fill="CCCCCC"/>
        </w:rPr>
        <w:t>Statistics</w:t>
      </w:r>
      <w:proofErr w:type="spellEnd"/>
      <w:r>
        <w:rPr>
          <w:shd w:val="clear" w:color="auto" w:fill="CCCCCC"/>
        </w:rPr>
        <w:t xml:space="preserve"> 2023</w:t>
      </w:r>
      <w:r>
        <w:t xml:space="preserve">].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types</w:t>
      </w:r>
      <w:proofErr w:type="spellEnd"/>
      <w:r>
        <w:t xml:space="preserve"> of workers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, work duties, or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scheme</w:t>
      </w:r>
      <w:proofErr w:type="spellEnd"/>
      <w:r>
        <w:t>.</w:t>
      </w:r>
    </w:p>
    <w:p w14:paraId="7A9C6900" w14:textId="77777777" w:rsidR="00FE2249" w:rsidRDefault="00000000">
      <w:r>
        <w:t xml:space="preserve"> </w:t>
      </w:r>
    </w:p>
    <w:p w14:paraId="5D751072" w14:textId="77777777" w:rsidR="00FE2249" w:rsidRDefault="00000000">
      <w:pPr>
        <w:pStyle w:val="Ttulo3"/>
      </w:pPr>
      <w:bookmarkStart w:id="9" w:name="_ra9310o27cql" w:colFirst="0" w:colLast="0"/>
      <w:bookmarkEnd w:id="9"/>
      <w:r>
        <w:t>Concept</w:t>
      </w:r>
    </w:p>
    <w:p w14:paraId="6F04D162" w14:textId="77777777" w:rsidR="00FE2249" w:rsidRDefault="00000000">
      <w:pPr>
        <w:ind w:firstLine="720"/>
      </w:pPr>
      <w:r>
        <w:t xml:space="preserve">The concept of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acknowledgement</w:t>
      </w:r>
      <w:proofErr w:type="spellEnd"/>
      <w:r>
        <w:t xml:space="preserve"> of the SVP in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from human </w:t>
      </w:r>
      <w:proofErr w:type="spellStart"/>
      <w:r>
        <w:t>healthcare</w:t>
      </w:r>
      <w:proofErr w:type="spellEnd"/>
      <w:r>
        <w:t xml:space="preserve">.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the SV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Vanhaecht</w:t>
      </w:r>
      <w:proofErr w:type="spellEnd"/>
      <w:r>
        <w:t xml:space="preserve"> et al. [</w:t>
      </w:r>
      <w:proofErr w:type="spellStart"/>
      <w:r>
        <w:rPr>
          <w:shd w:val="clear" w:color="auto" w:fill="CCCCCC"/>
        </w:rPr>
        <w:t>Vanhaecht</w:t>
      </w:r>
      <w:proofErr w:type="spellEnd"/>
      <w:r>
        <w:rPr>
          <w:shd w:val="clear" w:color="auto" w:fill="CCCCCC"/>
        </w:rPr>
        <w:t xml:space="preserve"> 2022</w:t>
      </w:r>
      <w:r>
        <w:t xml:space="preserve">] to be </w:t>
      </w:r>
      <w:proofErr w:type="spellStart"/>
      <w:r>
        <w:t>suitable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the diverse </w:t>
      </w:r>
      <w:proofErr w:type="spellStart"/>
      <w:r>
        <w:t>industries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SV “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worker, </w:t>
      </w:r>
      <w:proofErr w:type="spellStart"/>
      <w:r>
        <w:rPr>
          <w:i/>
        </w:rPr>
        <w:t>directly</w:t>
      </w:r>
      <w:proofErr w:type="spellEnd"/>
      <w:r>
        <w:rPr>
          <w:i/>
        </w:rPr>
        <w:t xml:space="preserve"> or </w:t>
      </w:r>
      <w:proofErr w:type="spellStart"/>
      <w:r>
        <w:rPr>
          <w:i/>
        </w:rPr>
        <w:t>indirectly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involved</w:t>
      </w:r>
      <w:proofErr w:type="spellEnd"/>
      <w:r>
        <w:rPr>
          <w:i/>
        </w:rPr>
        <w:t xml:space="preserve"> in an </w:t>
      </w:r>
      <w:proofErr w:type="spellStart"/>
      <w:r>
        <w:rPr>
          <w:i/>
        </w:rPr>
        <w:t>unanticipated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adverse</w:t>
      </w:r>
      <w:proofErr w:type="spellEnd"/>
      <w:r>
        <w:rPr>
          <w:i/>
        </w:rPr>
        <w:t xml:space="preserve"> event, </w:t>
      </w:r>
      <w:proofErr w:type="spellStart"/>
      <w:r>
        <w:rPr>
          <w:i/>
        </w:rPr>
        <w:t>unintentional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error</w:t>
      </w:r>
      <w:proofErr w:type="spellEnd"/>
      <w:r>
        <w:rPr>
          <w:i/>
        </w:rPr>
        <w:t xml:space="preserve">, or </w:t>
      </w:r>
      <w:proofErr w:type="spellStart"/>
      <w:r>
        <w:rPr>
          <w:i/>
        </w:rPr>
        <w:t>injury</w:t>
      </w:r>
      <w:proofErr w:type="spellEnd"/>
      <w:r>
        <w:rPr>
          <w:i/>
        </w:rPr>
        <w:t xml:space="preserve">, and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becomes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victimized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sense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are </w:t>
      </w:r>
      <w:proofErr w:type="spellStart"/>
      <w:r>
        <w:rPr>
          <w:i/>
        </w:rPr>
        <w:t>also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negatively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impacted</w:t>
      </w:r>
      <w:proofErr w:type="spellEnd"/>
      <w:r>
        <w:rPr>
          <w:i/>
        </w:rPr>
        <w:t>”</w:t>
      </w:r>
      <w:r>
        <w:t>.</w:t>
      </w:r>
    </w:p>
    <w:p w14:paraId="26E192FD" w14:textId="77777777" w:rsidR="00FE2249" w:rsidRDefault="00FE2249"/>
    <w:p w14:paraId="36D0CD73" w14:textId="77777777" w:rsidR="00FE2249" w:rsidRDefault="00000000">
      <w:pPr>
        <w:pStyle w:val="Ttulo3"/>
      </w:pPr>
      <w:bookmarkStart w:id="10" w:name="_dezab2nr1al7" w:colFirst="0" w:colLast="0"/>
      <w:bookmarkEnd w:id="10"/>
      <w:proofErr w:type="spellStart"/>
      <w:r>
        <w:t>Context</w:t>
      </w:r>
      <w:proofErr w:type="spellEnd"/>
    </w:p>
    <w:p w14:paraId="036690F1" w14:textId="77777777" w:rsidR="00FE2249" w:rsidRDefault="00000000">
      <w:pPr>
        <w:ind w:firstLine="720"/>
      </w:pPr>
      <w:r>
        <w:t xml:space="preserve">The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industries</w:t>
      </w:r>
      <w:proofErr w:type="spellEnd"/>
      <w:r>
        <w:t xml:space="preserve">, with the </w:t>
      </w:r>
      <w:proofErr w:type="spellStart"/>
      <w:r>
        <w:t>exception</w:t>
      </w:r>
      <w:proofErr w:type="spellEnd"/>
      <w:r>
        <w:t xml:space="preserve"> of human </w:t>
      </w:r>
      <w:proofErr w:type="spellStart"/>
      <w:r>
        <w:t>healthcare</w:t>
      </w:r>
      <w:proofErr w:type="spellEnd"/>
      <w:r>
        <w:t xml:space="preserve">. Human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by </w:t>
      </w:r>
      <w:proofErr w:type="spellStart"/>
      <w:r>
        <w:t>direct</w:t>
      </w:r>
      <w:proofErr w:type="spellEnd"/>
      <w:r>
        <w:t xml:space="preserve"> or </w:t>
      </w:r>
      <w:proofErr w:type="spellStart"/>
      <w:r>
        <w:t>indirect</w:t>
      </w:r>
      <w:proofErr w:type="spellEnd"/>
      <w:r>
        <w:t xml:space="preserve"> contact with </w:t>
      </w:r>
      <w:proofErr w:type="spellStart"/>
      <w:r>
        <w:t>patients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or nursing treatments.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studies </w:t>
      </w:r>
      <w:proofErr w:type="spellStart"/>
      <w:r>
        <w:t>conducted</w:t>
      </w:r>
      <w:proofErr w:type="spellEnd"/>
      <w:r>
        <w:t xml:space="preserve"> on workers from clinical/nursing settings (e.g., hospitals, nursing </w:t>
      </w:r>
      <w:proofErr w:type="spellStart"/>
      <w:r>
        <w:t>homes</w:t>
      </w:r>
      <w:proofErr w:type="spellEnd"/>
      <w:r>
        <w:t xml:space="preserve">, long </w:t>
      </w:r>
      <w:proofErr w:type="spellStart"/>
      <w:r>
        <w:t>term</w:t>
      </w:r>
      <w:proofErr w:type="spellEnd"/>
      <w:r>
        <w:t xml:space="preserve"> care, </w:t>
      </w:r>
      <w:proofErr w:type="spellStart"/>
      <w:r>
        <w:t>ambulance</w:t>
      </w:r>
      <w:proofErr w:type="spellEnd"/>
      <w:r>
        <w:t xml:space="preserve"> </w:t>
      </w:r>
      <w:commentRangeStart w:id="11"/>
      <w:r>
        <w:t>services</w:t>
      </w:r>
      <w:commentRangeEnd w:id="11"/>
      <w:r w:rsidR="00A42C71">
        <w:rPr>
          <w:rStyle w:val="Refdecomentario"/>
        </w:rPr>
        <w:commentReference w:id="11"/>
      </w:r>
      <w:r>
        <w:t xml:space="preserve">). In </w:t>
      </w:r>
      <w:proofErr w:type="spellStart"/>
      <w:r>
        <w:t>contrast</w:t>
      </w:r>
      <w:proofErr w:type="spellEnd"/>
      <w:r>
        <w:t xml:space="preserve">, workers from the social </w:t>
      </w:r>
      <w:proofErr w:type="spellStart"/>
      <w:r>
        <w:t>sectors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non-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responders</w:t>
      </w:r>
      <w:proofErr w:type="spellEnd"/>
      <w:r>
        <w:t xml:space="preserve">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>.</w:t>
      </w:r>
    </w:p>
    <w:p w14:paraId="10D33110" w14:textId="77777777" w:rsidR="00FE2249" w:rsidRDefault="00FE2249">
      <w:pPr>
        <w:ind w:firstLine="720"/>
      </w:pPr>
    </w:p>
    <w:p w14:paraId="110DFF8B" w14:textId="77777777" w:rsidR="00FE2249" w:rsidRDefault="00000000">
      <w:pPr>
        <w:pStyle w:val="Ttulo3"/>
      </w:pPr>
      <w:bookmarkStart w:id="12" w:name="_152si7fn1nx7" w:colFirst="0" w:colLast="0"/>
      <w:bookmarkEnd w:id="12"/>
      <w:proofErr w:type="spellStart"/>
      <w:r>
        <w:lastRenderedPageBreak/>
        <w:t>Types</w:t>
      </w:r>
      <w:proofErr w:type="spellEnd"/>
      <w:r>
        <w:t xml:space="preserve"> of sources of </w:t>
      </w:r>
      <w:proofErr w:type="spellStart"/>
      <w:r>
        <w:t>evidence</w:t>
      </w:r>
      <w:proofErr w:type="spellEnd"/>
    </w:p>
    <w:p w14:paraId="61112AF8" w14:textId="77777777" w:rsidR="00FE2249" w:rsidRDefault="00000000">
      <w:pPr>
        <w:ind w:firstLine="720"/>
      </w:pPr>
      <w:r>
        <w:t xml:space="preserve">Due to the </w:t>
      </w:r>
      <w:proofErr w:type="spellStart"/>
      <w:r>
        <w:t>exploratory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review,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and gray literature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on study design.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for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>.</w:t>
      </w:r>
    </w:p>
    <w:p w14:paraId="6AAA6420" w14:textId="77777777" w:rsidR="00FE2249" w:rsidRDefault="00FE2249"/>
    <w:p w14:paraId="25D01F61" w14:textId="77777777" w:rsidR="00FE2249" w:rsidRDefault="00000000">
      <w:pPr>
        <w:pStyle w:val="Ttulo2"/>
      </w:pPr>
      <w:bookmarkStart w:id="13" w:name="_xcjhj7b64v8v" w:colFirst="0" w:colLast="0"/>
      <w:bookmarkEnd w:id="13"/>
      <w:proofErr w:type="spellStart"/>
      <w:r>
        <w:t>Search</w:t>
      </w:r>
      <w:proofErr w:type="spellEnd"/>
      <w:r>
        <w:t xml:space="preserve"> strategy</w:t>
      </w:r>
    </w:p>
    <w:p w14:paraId="3C509A77" w14:textId="77777777" w:rsidR="00FE2249" w:rsidRDefault="00000000">
      <w:pPr>
        <w:ind w:firstLine="720"/>
      </w:pPr>
      <w:proofErr w:type="spellStart"/>
      <w:r>
        <w:t>Search</w:t>
      </w:r>
      <w:proofErr w:type="spellEnd"/>
      <w:r>
        <w:t xml:space="preserve"> strategy </w:t>
      </w:r>
      <w:proofErr w:type="spellStart"/>
      <w:r>
        <w:t>aimed</w:t>
      </w:r>
      <w:proofErr w:type="spellEnd"/>
      <w:r>
        <w:t xml:space="preserve"> to </w:t>
      </w:r>
      <w:proofErr w:type="spellStart"/>
      <w:r>
        <w:t>gather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report. Google </w:t>
      </w:r>
      <w:proofErr w:type="spellStart"/>
      <w:r>
        <w:t>Scholar</w:t>
      </w:r>
      <w:proofErr w:type="spellEnd"/>
      <w:r>
        <w:t xml:space="preserve">, Scopus, </w:t>
      </w:r>
      <w:proofErr w:type="spellStart"/>
      <w:r>
        <w:t>PubMed</w:t>
      </w:r>
      <w:proofErr w:type="spellEnd"/>
      <w:r>
        <w:t xml:space="preserve">, CINAHL, Web Of Science, and </w:t>
      </w:r>
      <w:proofErr w:type="spellStart"/>
      <w:r>
        <w:t>ProQuest</w:t>
      </w:r>
      <w:proofErr w:type="spellEnd"/>
      <w:r>
        <w:t xml:space="preserve"> databases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consulted</w:t>
      </w:r>
      <w:proofErr w:type="spellEnd"/>
      <w:r>
        <w:t xml:space="preserve">.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strings</w:t>
      </w:r>
      <w:proofErr w:type="spellEnd"/>
      <w:r>
        <w:t xml:space="preserve"> are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rPr>
          <w:highlight w:val="cyan"/>
        </w:rPr>
        <w:t>Table</w:t>
      </w:r>
      <w:proofErr w:type="spellEnd"/>
      <w:r>
        <w:rPr>
          <w:highlight w:val="cyan"/>
        </w:rPr>
        <w:t xml:space="preserve"> 1</w:t>
      </w:r>
      <w:r>
        <w:t xml:space="preserve">. Given the </w:t>
      </w:r>
      <w:proofErr w:type="spellStart"/>
      <w:r>
        <w:t>exploratory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scoping</w:t>
      </w:r>
      <w:proofErr w:type="spellEnd"/>
      <w:r>
        <w:t xml:space="preserve"> review, no </w:t>
      </w:r>
      <w:proofErr w:type="spellStart"/>
      <w:r>
        <w:t>publication</w:t>
      </w:r>
      <w:proofErr w:type="spellEnd"/>
      <w:r>
        <w:t xml:space="preserve"> date or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set. </w:t>
      </w:r>
      <w:proofErr w:type="spellStart"/>
      <w:r>
        <w:t>Documents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spoken</w:t>
      </w:r>
      <w:proofErr w:type="spellEnd"/>
      <w:r>
        <w:t xml:space="preserve"> by the </w:t>
      </w:r>
      <w:proofErr w:type="spellStart"/>
      <w:r>
        <w:t>research</w:t>
      </w:r>
      <w:proofErr w:type="spellEnd"/>
      <w:r>
        <w:t xml:space="preserve"> team (</w:t>
      </w:r>
      <w:proofErr w:type="spellStart"/>
      <w:r>
        <w:t>namely</w:t>
      </w:r>
      <w:proofErr w:type="spellEnd"/>
      <w:r>
        <w:t xml:space="preserve"> English, </w:t>
      </w:r>
      <w:proofErr w:type="spellStart"/>
      <w:r>
        <w:t>Italian</w:t>
      </w:r>
      <w:proofErr w:type="spellEnd"/>
      <w:r>
        <w:t xml:space="preserve">, German, and Spanish) </w:t>
      </w:r>
      <w:commentRangeStart w:id="14"/>
      <w:proofErr w:type="spellStart"/>
      <w:r>
        <w:t>were</w:t>
      </w:r>
      <w:commentRangeEnd w:id="14"/>
      <w:proofErr w:type="spellEnd"/>
      <w:r w:rsidR="00A42C71">
        <w:rPr>
          <w:rStyle w:val="Refdecomentario"/>
        </w:rPr>
        <w:commentReference w:id="14"/>
      </w:r>
      <w:r>
        <w:t xml:space="preserve"> </w:t>
      </w:r>
      <w:proofErr w:type="spellStart"/>
      <w:r>
        <w:t>translated</w:t>
      </w:r>
      <w:proofErr w:type="spellEnd"/>
      <w:r>
        <w:t xml:space="preserve"> to English </w:t>
      </w:r>
      <w:proofErr w:type="spellStart"/>
      <w:r>
        <w:t>using</w:t>
      </w:r>
      <w:proofErr w:type="spellEnd"/>
      <w:r>
        <w:t xml:space="preserve"> Google </w:t>
      </w:r>
      <w:proofErr w:type="spellStart"/>
      <w:r>
        <w:t>Translator</w:t>
      </w:r>
      <w:proofErr w:type="spellEnd"/>
      <w:r>
        <w:t xml:space="preserve"> software. </w:t>
      </w:r>
    </w:p>
    <w:p w14:paraId="7B4292FB" w14:textId="77777777" w:rsidR="00FE2249" w:rsidRDefault="00FE2249">
      <w:pPr>
        <w:rPr>
          <w:highlight w:val="red"/>
        </w:rPr>
      </w:pPr>
    </w:p>
    <w:p w14:paraId="440D9986" w14:textId="77777777" w:rsidR="00FE2249" w:rsidRDefault="00000000">
      <w:pPr>
        <w:pStyle w:val="Ttulo2"/>
      </w:pPr>
      <w:bookmarkStart w:id="15" w:name="_eoldkvwcroh8" w:colFirst="0" w:colLast="0"/>
      <w:bookmarkEnd w:id="15"/>
      <w:r>
        <w:t xml:space="preserve">Study </w:t>
      </w:r>
      <w:proofErr w:type="spellStart"/>
      <w:r>
        <w:t>selection</w:t>
      </w:r>
      <w:proofErr w:type="spellEnd"/>
      <w:r>
        <w:t xml:space="preserve"> and data </w:t>
      </w:r>
      <w:proofErr w:type="spellStart"/>
      <w:r>
        <w:t>extraction</w:t>
      </w:r>
      <w:proofErr w:type="spellEnd"/>
    </w:p>
    <w:p w14:paraId="58C78A90" w14:textId="77777777" w:rsidR="00FE2249" w:rsidRDefault="00000000">
      <w:pPr>
        <w:ind w:firstLine="720"/>
      </w:pPr>
      <w:proofErr w:type="spellStart"/>
      <w:r>
        <w:t>All</w:t>
      </w:r>
      <w:proofErr w:type="spellEnd"/>
      <w:r>
        <w:t xml:space="preserve"> the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on a Google </w:t>
      </w:r>
      <w:proofErr w:type="spellStart"/>
      <w:r>
        <w:t>Sheet</w:t>
      </w:r>
      <w:proofErr w:type="spellEnd"/>
      <w:r>
        <w:t xml:space="preserve"> database. The screening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by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reviewers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inconsistencies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resolved</w:t>
      </w:r>
      <w:proofErr w:type="spellEnd"/>
      <w:r>
        <w:t xml:space="preserve"> by a </w:t>
      </w:r>
      <w:proofErr w:type="spellStart"/>
      <w:r>
        <w:t>third</w:t>
      </w:r>
      <w:proofErr w:type="spellEnd"/>
      <w:r>
        <w:t xml:space="preserve"> one. </w:t>
      </w:r>
      <w:proofErr w:type="spellStart"/>
      <w:r>
        <w:t>Therefore</w:t>
      </w:r>
      <w:proofErr w:type="spellEnd"/>
      <w:r>
        <w:t xml:space="preserve">, data </w:t>
      </w:r>
      <w:proofErr w:type="spellStart"/>
      <w:r>
        <w:t>extracted</w:t>
      </w:r>
      <w:proofErr w:type="spellEnd"/>
      <w:r>
        <w:t xml:space="preserve"> from the </w:t>
      </w:r>
      <w:proofErr w:type="spellStart"/>
      <w:r>
        <w:t>included</w:t>
      </w:r>
      <w:proofErr w:type="spellEnd"/>
      <w:r>
        <w:t xml:space="preserve"> report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on a 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by a </w:t>
      </w:r>
      <w:proofErr w:type="spellStart"/>
      <w:r>
        <w:t>researcher</w:t>
      </w:r>
      <w:proofErr w:type="spellEnd"/>
      <w:r>
        <w:t xml:space="preserve"> (AC) and double </w:t>
      </w:r>
      <w:proofErr w:type="spellStart"/>
      <w:r>
        <w:t>checked</w:t>
      </w:r>
      <w:proofErr w:type="spellEnd"/>
      <w:r>
        <w:t xml:space="preserve"> by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(XX). The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the following fields: study design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),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description</w:t>
      </w:r>
      <w:proofErr w:type="spellEnd"/>
      <w:r>
        <w:t xml:space="preserve"> of the </w:t>
      </w:r>
      <w:proofErr w:type="spellStart"/>
      <w:r>
        <w:t>reported</w:t>
      </w:r>
      <w:proofErr w:type="spellEnd"/>
      <w:r>
        <w:t xml:space="preserve"> SVP, </w:t>
      </w:r>
      <w:proofErr w:type="spellStart"/>
      <w:r>
        <w:t>relevant</w:t>
      </w:r>
      <w:proofErr w:type="spellEnd"/>
      <w:r>
        <w:t xml:space="preserve"> key </w:t>
      </w:r>
      <w:proofErr w:type="spellStart"/>
      <w:r>
        <w:t>findings</w:t>
      </w:r>
      <w:proofErr w:type="spellEnd"/>
      <w:r>
        <w:t xml:space="preserve">, and preventive/support </w:t>
      </w:r>
      <w:proofErr w:type="spellStart"/>
      <w:r>
        <w:t>programmes</w:t>
      </w:r>
      <w:proofErr w:type="spellEnd"/>
      <w:r>
        <w:t>.</w:t>
      </w:r>
    </w:p>
    <w:p w14:paraId="7A1B8AD4" w14:textId="77777777" w:rsidR="00FE2249" w:rsidRDefault="00000000">
      <w:proofErr w:type="spellStart"/>
      <w:r>
        <w:t>Included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five-level</w:t>
      </w:r>
      <w:proofErr w:type="spellEnd"/>
      <w:r>
        <w:t xml:space="preserve"> SV support model </w:t>
      </w:r>
      <w:proofErr w:type="spellStart"/>
      <w:r>
        <w:t>proposed</w:t>
      </w:r>
      <w:proofErr w:type="spellEnd"/>
      <w:r>
        <w:t xml:space="preserve"> by </w:t>
      </w:r>
      <w:proofErr w:type="spellStart"/>
      <w:r>
        <w:t>Seys</w:t>
      </w:r>
      <w:proofErr w:type="spellEnd"/>
      <w:r>
        <w:t xml:space="preserve"> et al. [</w:t>
      </w:r>
      <w:proofErr w:type="spellStart"/>
      <w:r>
        <w:t>Seys</w:t>
      </w:r>
      <w:proofErr w:type="spellEnd"/>
      <w:r>
        <w:t xml:space="preserve"> 2023] In </w:t>
      </w:r>
      <w:proofErr w:type="spellStart"/>
      <w:r>
        <w:t>detail</w:t>
      </w:r>
      <w:proofErr w:type="spellEnd"/>
      <w:r>
        <w:t xml:space="preserve">, </w:t>
      </w:r>
      <w:proofErr w:type="spellStart"/>
      <w:r>
        <w:t>level</w:t>
      </w:r>
      <w:proofErr w:type="spellEnd"/>
      <w:r>
        <w:t xml:space="preserve"> 1 </w:t>
      </w:r>
      <w:proofErr w:type="spellStart"/>
      <w:r>
        <w:t>represents</w:t>
      </w:r>
      <w:proofErr w:type="spellEnd"/>
      <w:r>
        <w:t xml:space="preserve"> SVP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for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and </w:t>
      </w:r>
      <w:proofErr w:type="spellStart"/>
      <w:r>
        <w:t>organizations</w:t>
      </w:r>
      <w:proofErr w:type="spellEnd"/>
      <w:r>
        <w:t xml:space="preserve">; </w:t>
      </w:r>
      <w:proofErr w:type="spellStart"/>
      <w:r>
        <w:t>level</w:t>
      </w:r>
      <w:proofErr w:type="spellEnd"/>
      <w:r>
        <w:t xml:space="preserve"> 2 </w:t>
      </w:r>
      <w:proofErr w:type="spellStart"/>
      <w:r>
        <w:t>provides</w:t>
      </w:r>
      <w:proofErr w:type="spellEnd"/>
      <w:r>
        <w:t xml:space="preserve"> self care of </w:t>
      </w:r>
      <w:proofErr w:type="spellStart"/>
      <w:r>
        <w:t>individual</w:t>
      </w:r>
      <w:proofErr w:type="spellEnd"/>
      <w:r>
        <w:t xml:space="preserve"> and/or teams; </w:t>
      </w:r>
      <w:proofErr w:type="spellStart"/>
      <w:r>
        <w:t>level</w:t>
      </w:r>
      <w:proofErr w:type="spellEnd"/>
      <w:r>
        <w:t xml:space="preserve"> 3,4, and 5 </w:t>
      </w:r>
      <w:proofErr w:type="spellStart"/>
      <w:r>
        <w:t>structured</w:t>
      </w:r>
      <w:proofErr w:type="spellEnd"/>
      <w:r>
        <w:t xml:space="preserve"> support </w:t>
      </w:r>
      <w:proofErr w:type="spellStart"/>
      <w:r>
        <w:t>programs</w:t>
      </w:r>
      <w:proofErr w:type="spellEnd"/>
      <w:r>
        <w:t xml:space="preserve"> led by </w:t>
      </w:r>
      <w:proofErr w:type="spellStart"/>
      <w:r>
        <w:t>peers</w:t>
      </w:r>
      <w:proofErr w:type="spellEnd"/>
      <w:r>
        <w:t xml:space="preserve">, non clinical, and clinical </w:t>
      </w:r>
      <w:proofErr w:type="spellStart"/>
      <w:r>
        <w:t>professionals</w:t>
      </w:r>
      <w:proofErr w:type="spellEnd"/>
      <w:r>
        <w:t xml:space="preserve">, </w:t>
      </w:r>
      <w:proofErr w:type="spellStart"/>
      <w:r>
        <w:t>respectively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a “</w:t>
      </w:r>
      <w:proofErr w:type="spellStart"/>
      <w:r>
        <w:t>level</w:t>
      </w:r>
      <w:proofErr w:type="spellEnd"/>
      <w:r>
        <w:t xml:space="preserve"> 0” for </w:t>
      </w:r>
      <w:proofErr w:type="spellStart"/>
      <w:r>
        <w:t>identifying</w:t>
      </w:r>
      <w:proofErr w:type="spellEnd"/>
      <w:r>
        <w:t xml:space="preserve"> reports in </w:t>
      </w:r>
      <w:proofErr w:type="spellStart"/>
      <w:r>
        <w:t>which</w:t>
      </w:r>
      <w:proofErr w:type="spellEnd"/>
      <w:r>
        <w:t xml:space="preserve"> the SVP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acknowledged</w:t>
      </w:r>
      <w:proofErr w:type="spellEnd"/>
      <w:r>
        <w:t xml:space="preserve">. The </w:t>
      </w:r>
      <w:proofErr w:type="spellStart"/>
      <w:r>
        <w:t>modified</w:t>
      </w:r>
      <w:proofErr w:type="spellEnd"/>
      <w:r>
        <w:t xml:space="preserve"> model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</w:t>
      </w:r>
      <w:r>
        <w:rPr>
          <w:highlight w:val="cyan"/>
        </w:rPr>
        <w:t>Figure X</w:t>
      </w:r>
      <w:r>
        <w:t xml:space="preserve">. </w:t>
      </w:r>
      <w:r>
        <w:br w:type="page"/>
      </w:r>
    </w:p>
    <w:p w14:paraId="0DA9E306" w14:textId="77777777" w:rsidR="00FE2249" w:rsidRDefault="00000000">
      <w:pPr>
        <w:pStyle w:val="Ttulo1"/>
      </w:pPr>
      <w:bookmarkStart w:id="16" w:name="_a19q0iiiy6kt" w:colFirst="0" w:colLast="0"/>
      <w:bookmarkEnd w:id="16"/>
      <w:proofErr w:type="spellStart"/>
      <w:r>
        <w:lastRenderedPageBreak/>
        <w:t>Results</w:t>
      </w:r>
      <w:proofErr w:type="spellEnd"/>
    </w:p>
    <w:p w14:paraId="49772855" w14:textId="77777777" w:rsidR="00FE2249" w:rsidRDefault="00000000">
      <w:pPr>
        <w:ind w:firstLine="720"/>
      </w:pPr>
      <w:r>
        <w:t xml:space="preserve">A </w:t>
      </w:r>
      <w:proofErr w:type="spellStart"/>
      <w:r>
        <w:t>total</w:t>
      </w:r>
      <w:proofErr w:type="spellEnd"/>
      <w:r>
        <w:t xml:space="preserve"> of 11,478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retrieved</w:t>
      </w:r>
      <w:proofErr w:type="spellEnd"/>
      <w:r>
        <w:t xml:space="preserve">. The complete screening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Figure X </w:t>
      </w:r>
      <w:proofErr w:type="spellStart"/>
      <w:r>
        <w:t>as</w:t>
      </w:r>
      <w:proofErr w:type="spellEnd"/>
      <w:r>
        <w:t xml:space="preserve"> PRISMA flowchart. Of the </w:t>
      </w:r>
      <w:proofErr w:type="spellStart"/>
      <w:r>
        <w:t>fifty</w:t>
      </w:r>
      <w:proofErr w:type="spellEnd"/>
      <w:r>
        <w:t xml:space="preserve"> </w:t>
      </w:r>
      <w:proofErr w:type="spellStart"/>
      <w:r>
        <w:t>screened</w:t>
      </w:r>
      <w:proofErr w:type="spellEnd"/>
      <w:r>
        <w:t xml:space="preserve"> full texts, 18 studies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review.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cross-</w:t>
      </w:r>
      <w:proofErr w:type="spellStart"/>
      <w:r>
        <w:t>sectional</w:t>
      </w:r>
      <w:proofErr w:type="spellEnd"/>
      <w:r>
        <w:t xml:space="preserve"> surveys [</w:t>
      </w:r>
      <w:r>
        <w:rPr>
          <w:shd w:val="clear" w:color="auto" w:fill="CCCCCC"/>
        </w:rPr>
        <w:t xml:space="preserve">Perret 2020, </w:t>
      </w:r>
      <w:proofErr w:type="spellStart"/>
      <w:r>
        <w:rPr>
          <w:shd w:val="clear" w:color="auto" w:fill="CCCCCC"/>
        </w:rPr>
        <w:t>Karinakas</w:t>
      </w:r>
      <w:proofErr w:type="spellEnd"/>
      <w:r>
        <w:rPr>
          <w:shd w:val="clear" w:color="auto" w:fill="CCCCCC"/>
        </w:rPr>
        <w:t xml:space="preserve"> 2017, Hayes 2018, </w:t>
      </w:r>
      <w:proofErr w:type="spellStart"/>
      <w:r>
        <w:rPr>
          <w:shd w:val="clear" w:color="auto" w:fill="CCCCCC"/>
        </w:rPr>
        <w:t>Heraghty</w:t>
      </w:r>
      <w:proofErr w:type="spellEnd"/>
      <w:r>
        <w:rPr>
          <w:shd w:val="clear" w:color="auto" w:fill="CCCCCC"/>
        </w:rPr>
        <w:t xml:space="preserve"> 2018</w:t>
      </w:r>
      <w:r>
        <w:t xml:space="preserve">], </w:t>
      </w:r>
      <w:proofErr w:type="spellStart"/>
      <w:r>
        <w:t>three</w:t>
      </w:r>
      <w:proofErr w:type="spellEnd"/>
      <w:r>
        <w:t xml:space="preserve"> case reports [</w:t>
      </w:r>
      <w:proofErr w:type="spellStart"/>
      <w:r>
        <w:rPr>
          <w:shd w:val="clear" w:color="auto" w:fill="CCCCCC"/>
        </w:rPr>
        <w:t>Mosedale</w:t>
      </w:r>
      <w:proofErr w:type="spellEnd"/>
      <w:r>
        <w:rPr>
          <w:shd w:val="clear" w:color="auto" w:fill="CCCCCC"/>
        </w:rPr>
        <w:t xml:space="preserve"> 2020, </w:t>
      </w:r>
      <w:proofErr w:type="spellStart"/>
      <w:r>
        <w:rPr>
          <w:shd w:val="clear" w:color="auto" w:fill="CCCCCC"/>
        </w:rPr>
        <w:t>Naweed</w:t>
      </w:r>
      <w:proofErr w:type="spellEnd"/>
      <w:r>
        <w:rPr>
          <w:shd w:val="clear" w:color="auto" w:fill="CCCCCC"/>
        </w:rPr>
        <w:t xml:space="preserve"> 2021, </w:t>
      </w:r>
      <w:proofErr w:type="spellStart"/>
      <w:r>
        <w:rPr>
          <w:shd w:val="clear" w:color="auto" w:fill="CCCCCC"/>
        </w:rPr>
        <w:t>Heraghty</w:t>
      </w:r>
      <w:proofErr w:type="spellEnd"/>
      <w:r>
        <w:rPr>
          <w:shd w:val="clear" w:color="auto" w:fill="CCCCCC"/>
        </w:rPr>
        <w:t xml:space="preserve"> 2021</w:t>
      </w:r>
      <w:r>
        <w:t xml:space="preserve">], and </w:t>
      </w:r>
      <w:proofErr w:type="spellStart"/>
      <w:r>
        <w:t>three</w:t>
      </w:r>
      <w:proofErr w:type="spellEnd"/>
      <w:r>
        <w:t xml:space="preserve"> book </w:t>
      </w:r>
      <w:proofErr w:type="spellStart"/>
      <w:r>
        <w:t>chapters</w:t>
      </w:r>
      <w:proofErr w:type="spellEnd"/>
      <w:r>
        <w:t xml:space="preserve"> [</w:t>
      </w:r>
      <w:proofErr w:type="spellStart"/>
      <w:r>
        <w:t>Regher</w:t>
      </w:r>
      <w:proofErr w:type="spellEnd"/>
      <w:r>
        <w:t xml:space="preserve"> 2018, Smith 2017, De Boer 2022], </w:t>
      </w:r>
      <w:proofErr w:type="spellStart"/>
      <w:r>
        <w:t>two</w:t>
      </w:r>
      <w:proofErr w:type="spellEnd"/>
      <w:r>
        <w:t xml:space="preserve"> </w:t>
      </w:r>
      <w:commentRangeStart w:id="17"/>
      <w:r>
        <w:t xml:space="preserve">qualitative </w:t>
      </w:r>
      <w:commentRangeEnd w:id="17"/>
      <w:r w:rsidR="00A42C71">
        <w:rPr>
          <w:rStyle w:val="Refdecomentario"/>
        </w:rPr>
        <w:commentReference w:id="17"/>
      </w:r>
      <w:r>
        <w:t>[</w:t>
      </w:r>
      <w:r>
        <w:rPr>
          <w:shd w:val="clear" w:color="auto" w:fill="CCCCCC"/>
        </w:rPr>
        <w:t xml:space="preserve">Gibson 2003, </w:t>
      </w:r>
      <w:proofErr w:type="spellStart"/>
      <w:r>
        <w:rPr>
          <w:shd w:val="clear" w:color="auto" w:fill="CCCCCC"/>
        </w:rPr>
        <w:t>Kvitsiani</w:t>
      </w:r>
      <w:proofErr w:type="spellEnd"/>
      <w:r>
        <w:rPr>
          <w:shd w:val="clear" w:color="auto" w:fill="CCCCCC"/>
        </w:rPr>
        <w:t xml:space="preserve"> 2023</w:t>
      </w:r>
      <w:r>
        <w:t xml:space="preserve">]. The </w:t>
      </w:r>
      <w:proofErr w:type="spellStart"/>
      <w:r>
        <w:t>majority</w:t>
      </w:r>
      <w:proofErr w:type="spellEnd"/>
      <w:r>
        <w:t xml:space="preserve"> of the studies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in Europe,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the country for </w:t>
      </w:r>
      <w:proofErr w:type="spellStart"/>
      <w:r>
        <w:t>six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Detailed</w:t>
      </w:r>
      <w:proofErr w:type="spellEnd"/>
      <w:r>
        <w:t xml:space="preserve"> information of </w:t>
      </w:r>
      <w:proofErr w:type="spellStart"/>
      <w:r>
        <w:t>included</w:t>
      </w:r>
      <w:proofErr w:type="spellEnd"/>
      <w:r>
        <w:t xml:space="preserve"> studies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Table</w:t>
      </w:r>
      <w:proofErr w:type="spellEnd"/>
      <w:r>
        <w:t xml:space="preserve"> 2.</w:t>
      </w:r>
    </w:p>
    <w:p w14:paraId="7B5325D5" w14:textId="77777777" w:rsidR="00FE2249" w:rsidRDefault="00000000">
      <w:pPr>
        <w:ind w:firstLine="720"/>
      </w:pPr>
      <w:r>
        <w:t xml:space="preserve"> </w:t>
      </w:r>
    </w:p>
    <w:p w14:paraId="3FDF5E3B" w14:textId="77777777" w:rsidR="00FE2249" w:rsidRDefault="00000000">
      <w:pPr>
        <w:pStyle w:val="Ttulo2"/>
      </w:pPr>
      <w:bookmarkStart w:id="18" w:name="_5229dsibidko" w:colFirst="0" w:colLast="0"/>
      <w:bookmarkEnd w:id="18"/>
      <w:r>
        <w:t>Animal care/</w:t>
      </w:r>
      <w:proofErr w:type="spellStart"/>
      <w:r>
        <w:t>veterinary</w:t>
      </w:r>
      <w:proofErr w:type="spellEnd"/>
    </w:p>
    <w:p w14:paraId="772ECF07" w14:textId="77777777" w:rsidR="00FE2249" w:rsidRDefault="00000000">
      <w:pPr>
        <w:ind w:firstLine="720"/>
        <w:rPr>
          <w:shd w:val="clear" w:color="auto" w:fill="FF9900"/>
        </w:rPr>
      </w:pPr>
      <w:r>
        <w:t xml:space="preserve">The case report by </w:t>
      </w:r>
      <w:proofErr w:type="spellStart"/>
      <w:r>
        <w:t>Mosedale</w:t>
      </w:r>
      <w:proofErr w:type="spellEnd"/>
      <w:r>
        <w:t xml:space="preserve"> et al. [</w:t>
      </w:r>
      <w:proofErr w:type="spellStart"/>
      <w:r>
        <w:rPr>
          <w:shd w:val="clear" w:color="auto" w:fill="CCCCCC"/>
        </w:rPr>
        <w:t>Mosedale</w:t>
      </w:r>
      <w:proofErr w:type="spellEnd"/>
      <w:r>
        <w:rPr>
          <w:shd w:val="clear" w:color="auto" w:fill="CCCCCC"/>
        </w:rPr>
        <w:t xml:space="preserve"> 2020</w:t>
      </w:r>
      <w:r>
        <w:t xml:space="preserve">] </w:t>
      </w:r>
      <w:proofErr w:type="spellStart"/>
      <w:r>
        <w:t>described</w:t>
      </w:r>
      <w:proofErr w:type="spellEnd"/>
      <w:r>
        <w:t xml:space="preserve"> a </w:t>
      </w:r>
      <w:proofErr w:type="spellStart"/>
      <w:r>
        <w:t>near</w:t>
      </w:r>
      <w:proofErr w:type="spellEnd"/>
      <w:r>
        <w:t xml:space="preserve"> miss event (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) </w:t>
      </w:r>
      <w:proofErr w:type="spellStart"/>
      <w:r>
        <w:t>occurred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castration</w:t>
      </w:r>
      <w:proofErr w:type="spellEnd"/>
      <w:r>
        <w:t xml:space="preserve"> procedure </w:t>
      </w:r>
      <w:proofErr w:type="spellStart"/>
      <w:r>
        <w:t>performed</w:t>
      </w:r>
      <w:proofErr w:type="spellEnd"/>
      <w:r>
        <w:t xml:space="preserve"> on a </w:t>
      </w:r>
      <w:proofErr w:type="spellStart"/>
      <w:r>
        <w:t>horse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 xml:space="preserve"> support </w:t>
      </w:r>
      <w:proofErr w:type="spellStart"/>
      <w:r>
        <w:t>programs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a post-</w:t>
      </w:r>
      <w:proofErr w:type="spellStart"/>
      <w:r>
        <w:t>incident</w:t>
      </w:r>
      <w:proofErr w:type="spellEnd"/>
      <w:r>
        <w:t xml:space="preserve"> team </w:t>
      </w:r>
      <w:proofErr w:type="spellStart"/>
      <w:r>
        <w:t>discussion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the event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debated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supportive and just culture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can reduce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turn </w:t>
      </w:r>
      <w:proofErr w:type="spellStart"/>
      <w:r>
        <w:t>incidents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positive learning </w:t>
      </w:r>
      <w:proofErr w:type="spellStart"/>
      <w:r>
        <w:t>experiences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 the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SV,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the </w:t>
      </w:r>
      <w:proofErr w:type="spellStart"/>
      <w:r>
        <w:t>similarity</w:t>
      </w:r>
      <w:proofErr w:type="spellEnd"/>
      <w:r>
        <w:t xml:space="preserve"> of the </w:t>
      </w:r>
      <w:proofErr w:type="spellStart"/>
      <w:r>
        <w:t>described</w:t>
      </w:r>
      <w:proofErr w:type="spellEnd"/>
      <w:r>
        <w:t xml:space="preserve"> case to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in human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>.</w:t>
      </w:r>
    </w:p>
    <w:p w14:paraId="59C93853" w14:textId="77777777" w:rsidR="00FE2249" w:rsidRDefault="00000000">
      <w:pPr>
        <w:ind w:firstLine="720"/>
      </w:pPr>
      <w:r>
        <w:t>The cross-</w:t>
      </w:r>
      <w:proofErr w:type="spellStart"/>
      <w:r>
        <w:t>sectional</w:t>
      </w:r>
      <w:proofErr w:type="spellEnd"/>
      <w:r>
        <w:t xml:space="preserve"> survey </w:t>
      </w:r>
      <w:proofErr w:type="spellStart"/>
      <w:r>
        <w:t>conducted</w:t>
      </w:r>
      <w:proofErr w:type="spellEnd"/>
      <w:r>
        <w:t xml:space="preserve"> in Canada [</w:t>
      </w:r>
      <w:r>
        <w:rPr>
          <w:shd w:val="clear" w:color="auto" w:fill="CCCCCC"/>
        </w:rPr>
        <w:t>Perret 2020</w:t>
      </w:r>
      <w:r>
        <w:t xml:space="preserve">] </w:t>
      </w:r>
      <w:proofErr w:type="spellStart"/>
      <w:r>
        <w:t>aimed</w:t>
      </w:r>
      <w:proofErr w:type="spellEnd"/>
      <w:r>
        <w:t xml:space="preserve"> to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health (e.g., stress, burnout, </w:t>
      </w:r>
      <w:proofErr w:type="spellStart"/>
      <w:r>
        <w:t>anxiety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)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veterinarians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major </w:t>
      </w:r>
      <w:proofErr w:type="spellStart"/>
      <w:r>
        <w:t>results</w:t>
      </w:r>
      <w:proofErr w:type="spellEnd"/>
      <w:r>
        <w:t xml:space="preserve">,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high </w:t>
      </w:r>
      <w:proofErr w:type="spellStart"/>
      <w:r>
        <w:t>levels</w:t>
      </w:r>
      <w:proofErr w:type="spellEnd"/>
      <w:r>
        <w:t xml:space="preserve"> of stress, burnout, </w:t>
      </w:r>
      <w:proofErr w:type="spellStart"/>
      <w:r>
        <w:t>depression</w:t>
      </w:r>
      <w:proofErr w:type="spellEnd"/>
      <w:r>
        <w:t xml:space="preserve">, </w:t>
      </w:r>
      <w:proofErr w:type="spellStart"/>
      <w:r>
        <w:t>anxiety</w:t>
      </w:r>
      <w:proofErr w:type="spellEnd"/>
      <w:r>
        <w:t xml:space="preserve">, </w:t>
      </w:r>
      <w:proofErr w:type="spellStart"/>
      <w:r>
        <w:t>compassion</w:t>
      </w:r>
      <w:proofErr w:type="spellEnd"/>
      <w:r>
        <w:t xml:space="preserve"> and </w:t>
      </w:r>
      <w:proofErr w:type="spellStart"/>
      <w:r>
        <w:t>suicidal</w:t>
      </w:r>
      <w:proofErr w:type="spellEnd"/>
      <w:r>
        <w:t xml:space="preserve"> </w:t>
      </w:r>
      <w:proofErr w:type="spellStart"/>
      <w:r>
        <w:t>ideation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the </w:t>
      </w:r>
      <w:proofErr w:type="spellStart"/>
      <w:r>
        <w:t>females</w:t>
      </w:r>
      <w:proofErr w:type="spellEnd"/>
      <w:r>
        <w:t xml:space="preserve"> in </w:t>
      </w:r>
      <w:proofErr w:type="spellStart"/>
      <w:r>
        <w:t>poorer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health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males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the impact of </w:t>
      </w:r>
      <w:proofErr w:type="spellStart"/>
      <w:r>
        <w:t>veterinarians</w:t>
      </w:r>
      <w:proofErr w:type="spellEnd"/>
      <w:r>
        <w:t xml:space="preserve">' </w:t>
      </w:r>
      <w:proofErr w:type="spellStart"/>
      <w:r>
        <w:t>mental</w:t>
      </w:r>
      <w:proofErr w:type="spellEnd"/>
      <w:r>
        <w:t xml:space="preserve"> health on </w:t>
      </w:r>
      <w:proofErr w:type="spellStart"/>
      <w:r>
        <w:t>productivity</w:t>
      </w:r>
      <w:proofErr w:type="spellEnd"/>
      <w:r>
        <w:t xml:space="preserve"> and </w:t>
      </w:r>
      <w:proofErr w:type="spellStart"/>
      <w:r>
        <w:t>quality</w:t>
      </w:r>
      <w:proofErr w:type="spellEnd"/>
      <w:r>
        <w:t xml:space="preserve"> of care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scarce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, the SVP) in human </w:t>
      </w:r>
      <w:proofErr w:type="spellStart"/>
      <w:r>
        <w:t>healthcare</w:t>
      </w:r>
      <w:proofErr w:type="spellEnd"/>
      <w:r>
        <w:t xml:space="preserve">. The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 xml:space="preserve"> support </w:t>
      </w:r>
      <w:proofErr w:type="spellStart"/>
      <w:r>
        <w:t>program</w:t>
      </w:r>
      <w:proofErr w:type="spellEnd"/>
      <w:r>
        <w:t xml:space="preserve">; </w:t>
      </w:r>
      <w:proofErr w:type="spellStart"/>
      <w:r>
        <w:t>however</w:t>
      </w:r>
      <w:proofErr w:type="spellEnd"/>
      <w:r>
        <w:t xml:space="preserve">, the </w:t>
      </w:r>
      <w:proofErr w:type="spellStart"/>
      <w:r>
        <w:t>respondents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the support </w:t>
      </w:r>
      <w:proofErr w:type="spellStart"/>
      <w:r>
        <w:t>received</w:t>
      </w:r>
      <w:proofErr w:type="spellEnd"/>
      <w:r>
        <w:t xml:space="preserve"> by family and </w:t>
      </w:r>
      <w:proofErr w:type="spellStart"/>
      <w:r>
        <w:t>colleagues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satisfactory</w:t>
      </w:r>
      <w:proofErr w:type="spellEnd"/>
      <w:r>
        <w:t xml:space="preserve"> and just </w:t>
      </w:r>
      <w:proofErr w:type="spellStart"/>
      <w:r>
        <w:t>satisfactory</w:t>
      </w:r>
      <w:proofErr w:type="spellEnd"/>
      <w:r>
        <w:t xml:space="preserve">, </w:t>
      </w:r>
      <w:proofErr w:type="spellStart"/>
      <w:r>
        <w:t>respectively</w:t>
      </w:r>
      <w:proofErr w:type="spellEnd"/>
      <w:r>
        <w:t>.</w:t>
      </w:r>
    </w:p>
    <w:p w14:paraId="1782C0DD" w14:textId="77777777" w:rsidR="00FE2249" w:rsidRDefault="00000000">
      <w:pPr>
        <w:ind w:firstLine="720"/>
      </w:pPr>
      <w:r>
        <w:t xml:space="preserve">The qualitative study </w:t>
      </w:r>
      <w:proofErr w:type="spellStart"/>
      <w:r>
        <w:t>performed</w:t>
      </w:r>
      <w:proofErr w:type="spellEnd"/>
      <w:r>
        <w:t xml:space="preserve"> by Gibson et al. [</w:t>
      </w:r>
      <w:r>
        <w:rPr>
          <w:shd w:val="clear" w:color="auto" w:fill="CCCCCC"/>
        </w:rPr>
        <w:t>Gibson 2023</w:t>
      </w:r>
      <w:r>
        <w:t xml:space="preserve">] </w:t>
      </w:r>
      <w:proofErr w:type="spellStart"/>
      <w:r>
        <w:t>aimed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insights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veterinarians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adverse</w:t>
      </w:r>
      <w:proofErr w:type="spellEnd"/>
      <w:r>
        <w:t xml:space="preserve"> events,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lastRenderedPageBreak/>
        <w:t>ethical</w:t>
      </w:r>
      <w:proofErr w:type="spellEnd"/>
      <w:r>
        <w:t xml:space="preserve"> challenges.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in the </w:t>
      </w:r>
      <w:proofErr w:type="spellStart"/>
      <w:r>
        <w:t>aftermath</w:t>
      </w:r>
      <w:proofErr w:type="spellEnd"/>
      <w:r>
        <w:t xml:space="preserve"> of an </w:t>
      </w:r>
      <w:proofErr w:type="spellStart"/>
      <w:r>
        <w:t>adverse</w:t>
      </w:r>
      <w:proofErr w:type="spellEnd"/>
      <w:r>
        <w:t xml:space="preserve"> event,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in balancing </w:t>
      </w:r>
      <w:proofErr w:type="spellStart"/>
      <w:r>
        <w:t>honesty</w:t>
      </w:r>
      <w:proofErr w:type="spellEnd"/>
      <w:r>
        <w:t xml:space="preserve">, </w:t>
      </w:r>
      <w:proofErr w:type="spellStart"/>
      <w:r>
        <w:t>apology</w:t>
      </w:r>
      <w:proofErr w:type="spellEnd"/>
      <w:r>
        <w:t xml:space="preserve">, and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clients.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the future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veterinarians</w:t>
      </w:r>
      <w:proofErr w:type="spellEnd"/>
      <w:r>
        <w:t xml:space="preserve">' support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to reduce </w:t>
      </w:r>
      <w:proofErr w:type="spellStart"/>
      <w:r>
        <w:t>emotional</w:t>
      </w:r>
      <w:proofErr w:type="spellEnd"/>
      <w:r>
        <w:t xml:space="preserve"> impact </w:t>
      </w:r>
      <w:proofErr w:type="spellStart"/>
      <w:r>
        <w:t>associated</w:t>
      </w:r>
      <w:proofErr w:type="spellEnd"/>
      <w:r>
        <w:t xml:space="preserve"> with </w:t>
      </w:r>
      <w:proofErr w:type="spellStart"/>
      <w:r>
        <w:t>such</w:t>
      </w:r>
      <w:proofErr w:type="spellEnd"/>
      <w:r>
        <w:t xml:space="preserve"> challenges and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challenges and moral distress can be </w:t>
      </w:r>
      <w:proofErr w:type="spellStart"/>
      <w:r>
        <w:t>associated</w:t>
      </w:r>
      <w:proofErr w:type="spellEnd"/>
      <w:r>
        <w:t xml:space="preserve"> with the </w:t>
      </w:r>
      <w:proofErr w:type="spellStart"/>
      <w:r>
        <w:t>development</w:t>
      </w:r>
      <w:proofErr w:type="spellEnd"/>
      <w:r>
        <w:t xml:space="preserve"> of SV in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the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the </w:t>
      </w:r>
      <w:proofErr w:type="spellStart"/>
      <w:r>
        <w:t>potential</w:t>
      </w:r>
      <w:proofErr w:type="spellEnd"/>
      <w:r>
        <w:t xml:space="preserve"> benefits of group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strategy to reduce the SVP, </w:t>
      </w:r>
      <w:proofErr w:type="spellStart"/>
      <w:r>
        <w:t>despite</w:t>
      </w:r>
      <w:proofErr w:type="spellEnd"/>
      <w:r>
        <w:t xml:space="preserve"> no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given</w:t>
      </w:r>
      <w:proofErr w:type="spellEnd"/>
      <w:r>
        <w:t>.</w:t>
      </w:r>
    </w:p>
    <w:p w14:paraId="0E2DA9AB" w14:textId="77777777" w:rsidR="00FE2249" w:rsidRDefault="00000000">
      <w:pPr>
        <w:ind w:firstLine="720"/>
        <w:rPr>
          <w:highlight w:val="red"/>
        </w:rPr>
      </w:pPr>
      <w:proofErr w:type="spellStart"/>
      <w:r>
        <w:t>Timmenga</w:t>
      </w:r>
      <w:proofErr w:type="spellEnd"/>
      <w:r>
        <w:t xml:space="preserve"> et al. [</w:t>
      </w:r>
      <w:proofErr w:type="spellStart"/>
      <w:r>
        <w:rPr>
          <w:shd w:val="clear" w:color="auto" w:fill="CCCCCC"/>
        </w:rPr>
        <w:t>Timmenga</w:t>
      </w:r>
      <w:proofErr w:type="spellEnd"/>
      <w:r>
        <w:rPr>
          <w:shd w:val="clear" w:color="auto" w:fill="CCCCCC"/>
        </w:rPr>
        <w:t xml:space="preserve"> 2022</w:t>
      </w:r>
      <w:r>
        <w:t xml:space="preserve">] </w:t>
      </w:r>
      <w:proofErr w:type="spellStart"/>
      <w:r>
        <w:t>investigated</w:t>
      </w:r>
      <w:proofErr w:type="spellEnd"/>
      <w:r>
        <w:t xml:space="preserve"> the design and impact of support </w:t>
      </w:r>
      <w:proofErr w:type="spellStart"/>
      <w:r>
        <w:t>programmes</w:t>
      </w:r>
      <w:proofErr w:type="spellEnd"/>
      <w:r>
        <w:t xml:space="preserve"> for </w:t>
      </w:r>
      <w:proofErr w:type="spellStart"/>
      <w:r>
        <w:t>veterinarians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wellbeing</w:t>
      </w:r>
      <w:proofErr w:type="spellEnd"/>
      <w:r>
        <w:t xml:space="preserve">. The mixed </w:t>
      </w:r>
      <w:proofErr w:type="spellStart"/>
      <w:r>
        <w:t>method</w:t>
      </w:r>
      <w:proofErr w:type="spellEnd"/>
      <w:r>
        <w:t xml:space="preserve"> study </w:t>
      </w:r>
      <w:proofErr w:type="spellStart"/>
      <w:r>
        <w:t>included</w:t>
      </w:r>
      <w:proofErr w:type="spellEnd"/>
      <w:r>
        <w:t xml:space="preserve"> a quantitative online survey, interviews with </w:t>
      </w:r>
      <w:proofErr w:type="spellStart"/>
      <w:r>
        <w:t>two</w:t>
      </w:r>
      <w:proofErr w:type="spellEnd"/>
      <w:r>
        <w:t xml:space="preserve"> focus groups, and input </w:t>
      </w:r>
      <w:proofErr w:type="spellStart"/>
      <w:r>
        <w:t>gathered</w:t>
      </w:r>
      <w:proofErr w:type="spellEnd"/>
      <w:r>
        <w:t xml:space="preserve"> after </w:t>
      </w:r>
      <w:proofErr w:type="spellStart"/>
      <w:r>
        <w:t>webinars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care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support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and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support from </w:t>
      </w:r>
      <w:proofErr w:type="spellStart"/>
      <w:r>
        <w:t>colleagues</w:t>
      </w:r>
      <w:proofErr w:type="spellEnd"/>
      <w:r>
        <w:t>/</w:t>
      </w:r>
      <w:proofErr w:type="spellStart"/>
      <w:r>
        <w:t>relatives</w:t>
      </w:r>
      <w:proofErr w:type="spellEnd"/>
      <w:r>
        <w:t xml:space="preserve"> after an </w:t>
      </w:r>
      <w:proofErr w:type="spellStart"/>
      <w:r>
        <w:t>adverse</w:t>
      </w:r>
      <w:proofErr w:type="spellEnd"/>
      <w:r>
        <w:t xml:space="preserve"> event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coping strategy. In </w:t>
      </w:r>
      <w:proofErr w:type="spellStart"/>
      <w:r>
        <w:t>contrast</w:t>
      </w:r>
      <w:proofErr w:type="spellEnd"/>
      <w:r>
        <w:t xml:space="preserve">, no </w:t>
      </w:r>
      <w:proofErr w:type="spellStart"/>
      <w:r>
        <w:t>structured</w:t>
      </w:r>
      <w:proofErr w:type="spellEnd"/>
      <w:r>
        <w:t xml:space="preserve"> peer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. </w:t>
      </w:r>
    </w:p>
    <w:p w14:paraId="08D2AE43" w14:textId="77777777" w:rsidR="00FE2249" w:rsidRDefault="00000000">
      <w:pPr>
        <w:ind w:firstLine="720"/>
      </w:pPr>
      <w:r>
        <w:t>White et al. [</w:t>
      </w:r>
      <w:r>
        <w:rPr>
          <w:shd w:val="clear" w:color="auto" w:fill="CCCCCC"/>
        </w:rPr>
        <w:t>White 2021</w:t>
      </w:r>
      <w:r>
        <w:t xml:space="preserve">] </w:t>
      </w:r>
      <w:proofErr w:type="spellStart"/>
      <w:r>
        <w:t>explored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and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to mitigate risk and </w:t>
      </w:r>
      <w:proofErr w:type="spellStart"/>
      <w:r>
        <w:t>increase</w:t>
      </w:r>
      <w:proofErr w:type="spellEnd"/>
      <w:r>
        <w:t xml:space="preserve"> personal </w:t>
      </w:r>
      <w:proofErr w:type="spellStart"/>
      <w:r>
        <w:t>wellbeing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veterinarians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literature on </w:t>
      </w:r>
      <w:proofErr w:type="spellStart"/>
      <w:r>
        <w:t>structured</w:t>
      </w:r>
      <w:proofErr w:type="spellEnd"/>
      <w:r>
        <w:t xml:space="preserve"> group/peer support for </w:t>
      </w:r>
      <w:proofErr w:type="spellStart"/>
      <w:r>
        <w:t>veterinarians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limited.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stressors</w:t>
      </w:r>
      <w:proofErr w:type="spellEnd"/>
      <w:r>
        <w:t xml:space="preserve">, coping strategies, and </w:t>
      </w:r>
      <w:proofErr w:type="spellStart"/>
      <w:r>
        <w:t>roles</w:t>
      </w:r>
      <w:proofErr w:type="spellEnd"/>
      <w:r>
        <w:t xml:space="preserve"> of the </w:t>
      </w:r>
      <w:proofErr w:type="spellStart"/>
      <w:r>
        <w:t>animal</w:t>
      </w:r>
      <w:proofErr w:type="spellEnd"/>
      <w:r>
        <w:t xml:space="preserve"> care </w:t>
      </w:r>
      <w:proofErr w:type="spellStart"/>
      <w:r>
        <w:t>sector</w:t>
      </w:r>
      <w:proofErr w:type="spellEnd"/>
      <w:r>
        <w:t xml:space="preserve"> are comparable to the human one,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veterinarians</w:t>
      </w:r>
      <w:proofErr w:type="spellEnd"/>
      <w:r>
        <w:t xml:space="preserve"> can </w:t>
      </w:r>
      <w:proofErr w:type="spellStart"/>
      <w:r>
        <w:t>translate</w:t>
      </w:r>
      <w:proofErr w:type="spellEnd"/>
      <w:r>
        <w:t xml:space="preserve"> knowledge on personal </w:t>
      </w:r>
      <w:proofErr w:type="spellStart"/>
      <w:r>
        <w:t>wellbeing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training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to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staff knowledge in burnout and fatigue. </w:t>
      </w:r>
      <w:proofErr w:type="spellStart"/>
      <w:r>
        <w:t>Interestingly</w:t>
      </w:r>
      <w:proofErr w:type="spellEnd"/>
      <w:r>
        <w:t xml:space="preserve">, the Author </w:t>
      </w:r>
      <w:proofErr w:type="spellStart"/>
      <w:r>
        <w:t>declared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wildlife</w:t>
      </w:r>
      <w:proofErr w:type="spellEnd"/>
      <w:r>
        <w:t xml:space="preserve"> care and oil </w:t>
      </w:r>
      <w:proofErr w:type="spellStart"/>
      <w:r>
        <w:t>spill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events.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the </w:t>
      </w:r>
      <w:proofErr w:type="spellStart"/>
      <w:r>
        <w:t>introduction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peer </w:t>
      </w:r>
      <w:proofErr w:type="spellStart"/>
      <w:r>
        <w:t>programmes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emphasized</w:t>
      </w:r>
      <w:proofErr w:type="spellEnd"/>
      <w:r>
        <w:t xml:space="preserve"> the </w:t>
      </w:r>
      <w:proofErr w:type="spellStart"/>
      <w:r>
        <w:t>logistic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hamper</w:t>
      </w:r>
      <w:proofErr w:type="spellEnd"/>
      <w:r>
        <w:t xml:space="preserve"> the </w:t>
      </w:r>
      <w:proofErr w:type="spellStart"/>
      <w:r>
        <w:t>participation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 the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veterinarians</w:t>
      </w:r>
      <w:proofErr w:type="spellEnd"/>
      <w:r>
        <w:t xml:space="preserve"> are freelance or work in small clinics.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mentioning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the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compatible</w:t>
      </w:r>
      <w:proofErr w:type="spellEnd"/>
      <w:r>
        <w:t xml:space="preserve"> with the SVP </w:t>
      </w:r>
      <w:proofErr w:type="spellStart"/>
      <w:r>
        <w:t>definition</w:t>
      </w:r>
      <w:proofErr w:type="spellEnd"/>
      <w:r>
        <w:t xml:space="preserve">,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use the SV </w:t>
      </w:r>
      <w:proofErr w:type="spellStart"/>
      <w:r>
        <w:t>term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>.</w:t>
      </w:r>
    </w:p>
    <w:p w14:paraId="1573E91B" w14:textId="77777777" w:rsidR="00FE2249" w:rsidRDefault="00FE2249"/>
    <w:p w14:paraId="1AC25D18" w14:textId="77777777" w:rsidR="00FE2249" w:rsidRDefault="00000000">
      <w:pPr>
        <w:pStyle w:val="Ttulo2"/>
      </w:pPr>
      <w:bookmarkStart w:id="19" w:name="_8kc05ku4hwqa" w:colFirst="0" w:colLast="0"/>
      <w:bookmarkEnd w:id="19"/>
      <w:r>
        <w:lastRenderedPageBreak/>
        <w:t>Aviation</w:t>
      </w:r>
    </w:p>
    <w:p w14:paraId="2D7A229C" w14:textId="2BD48B39" w:rsidR="00FE2249" w:rsidRDefault="00000000">
      <w:pPr>
        <w:ind w:firstLine="720"/>
      </w:pPr>
      <w:r>
        <w:t>The cross-</w:t>
      </w:r>
      <w:proofErr w:type="spellStart"/>
      <w:r>
        <w:t>sectional</w:t>
      </w:r>
      <w:proofErr w:type="spellEnd"/>
      <w:r>
        <w:t xml:space="preserve"> study </w:t>
      </w:r>
      <w:proofErr w:type="spellStart"/>
      <w:r>
        <w:t>conducted</w:t>
      </w:r>
      <w:proofErr w:type="spellEnd"/>
      <w:r>
        <w:t xml:space="preserve"> by </w:t>
      </w:r>
      <w:proofErr w:type="spellStart"/>
      <w:r>
        <w:t>Karanikas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 </w:t>
      </w:r>
      <w:proofErr w:type="spellStart"/>
      <w:r>
        <w:t>questionnaire</w:t>
      </w:r>
      <w:proofErr w:type="spellEnd"/>
      <w:r>
        <w:t xml:space="preserve"> to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just culture policy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introduced</w:t>
      </w:r>
      <w:proofErr w:type="spellEnd"/>
      <w:r>
        <w:t xml:space="preserve"> to a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the SV concept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, </w:t>
      </w:r>
      <w:proofErr w:type="spellStart"/>
      <w:r>
        <w:t>adopting</w:t>
      </w:r>
      <w:proofErr w:type="spellEnd"/>
      <w:r>
        <w:t xml:space="preserve"> the </w:t>
      </w:r>
      <w:proofErr w:type="spellStart"/>
      <w:r>
        <w:t>definition</w:t>
      </w:r>
      <w:proofErr w:type="spellEnd"/>
      <w:r>
        <w:t xml:space="preserve"> of Dekker [</w:t>
      </w:r>
      <w:r>
        <w:rPr>
          <w:highlight w:val="red"/>
        </w:rPr>
        <w:t>Dekker 2013</w:t>
      </w:r>
      <w:r>
        <w:t xml:space="preserve">]. </w:t>
      </w:r>
      <w:proofErr w:type="spellStart"/>
      <w:r>
        <w:t>Respondents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propositive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support and short-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after an </w:t>
      </w:r>
      <w:proofErr w:type="spellStart"/>
      <w:r>
        <w:t>incident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implementation</w:t>
      </w:r>
      <w:proofErr w:type="spellEnd"/>
      <w:r>
        <w:t xml:space="preserve"> of a just culture policy,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feasible</w:t>
      </w:r>
      <w:proofErr w:type="spellEnd"/>
      <w:r>
        <w:t>.</w:t>
      </w:r>
    </w:p>
    <w:p w14:paraId="418E79B0" w14:textId="13EDD7A3" w:rsidR="00FE2249" w:rsidRDefault="00000000">
      <w:r>
        <w:tab/>
      </w:r>
      <w:proofErr w:type="spellStart"/>
      <w:r>
        <w:t>Interestingly</w:t>
      </w:r>
      <w:proofErr w:type="spellEnd"/>
      <w:r>
        <w:t xml:space="preserve">, </w:t>
      </w:r>
      <w:proofErr w:type="spellStart"/>
      <w:r>
        <w:t>Apanay</w:t>
      </w:r>
      <w:proofErr w:type="spellEnd"/>
      <w:r>
        <w:t xml:space="preserve"> [</w:t>
      </w:r>
      <w:proofErr w:type="spellStart"/>
      <w:r>
        <w:rPr>
          <w:shd w:val="clear" w:color="auto" w:fill="CCCCCC"/>
        </w:rPr>
        <w:t>Apanay</w:t>
      </w:r>
      <w:proofErr w:type="spellEnd"/>
      <w:r>
        <w:rPr>
          <w:shd w:val="clear" w:color="auto" w:fill="CCCCCC"/>
        </w:rPr>
        <w:t xml:space="preserve"> 2021</w:t>
      </w:r>
      <w:r>
        <w:t xml:space="preserve">]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the SV concept from </w:t>
      </w:r>
      <w:proofErr w:type="spellStart"/>
      <w:r>
        <w:t>healthcare</w:t>
      </w:r>
      <w:proofErr w:type="spellEnd"/>
      <w:r>
        <w:t xml:space="preserve"> to </w:t>
      </w:r>
      <w:proofErr w:type="spellStart"/>
      <w:r>
        <w:t>aviation</w:t>
      </w:r>
      <w:proofErr w:type="spellEnd"/>
      <w:r>
        <w:t xml:space="preserve">. The study </w:t>
      </w:r>
      <w:proofErr w:type="spellStart"/>
      <w:r>
        <w:t>aimed</w:t>
      </w:r>
      <w:proofErr w:type="spellEnd"/>
      <w:r>
        <w:t xml:space="preserve"> to </w:t>
      </w:r>
      <w:proofErr w:type="spellStart"/>
      <w:r>
        <w:t>discuss</w:t>
      </w:r>
      <w:proofErr w:type="spellEnd"/>
      <w:r>
        <w:t xml:space="preserve"> the SVP in the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and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strategies 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SVs</w:t>
      </w:r>
      <w:proofErr w:type="spellEnd"/>
      <w:r>
        <w:t xml:space="preserve">. The </w:t>
      </w:r>
      <w:proofErr w:type="spellStart"/>
      <w:r>
        <w:t>author</w:t>
      </w:r>
      <w:proofErr w:type="spellEnd"/>
      <w:r>
        <w:t xml:space="preserve"> made a </w:t>
      </w:r>
      <w:proofErr w:type="spellStart"/>
      <w:r>
        <w:t>parallelism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: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 xml:space="preserve">, </w:t>
      </w:r>
      <w:proofErr w:type="spellStart"/>
      <w:r>
        <w:t>indeed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of </w:t>
      </w:r>
      <w:proofErr w:type="spellStart"/>
      <w:r>
        <w:t>paramount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. With </w:t>
      </w:r>
      <w:proofErr w:type="spellStart"/>
      <w:r>
        <w:t>regards</w:t>
      </w:r>
      <w:proofErr w:type="spellEnd"/>
      <w:r>
        <w:t xml:space="preserve"> to </w:t>
      </w:r>
      <w:proofErr w:type="spellStart"/>
      <w:r>
        <w:t>prevention</w:t>
      </w:r>
      <w:proofErr w:type="spellEnd"/>
      <w:r>
        <w:t xml:space="preserve">, the Author </w:t>
      </w:r>
      <w:proofErr w:type="spellStart"/>
      <w:r>
        <w:t>identified</w:t>
      </w:r>
      <w:proofErr w:type="spellEnd"/>
      <w:r>
        <w:t xml:space="preserve"> in Crew Resource Management skills, training and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tools to support SV. </w:t>
      </w:r>
      <w:proofErr w:type="spellStart"/>
      <w:r>
        <w:t>Moreover</w:t>
      </w:r>
      <w:proofErr w:type="spellEnd"/>
      <w:r>
        <w:t xml:space="preserve">, he </w:t>
      </w:r>
      <w:proofErr w:type="spellStart"/>
      <w:r>
        <w:t>advocated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access to supportive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SV. </w:t>
      </w:r>
      <w:proofErr w:type="spellStart"/>
      <w:r>
        <w:t>Moreover</w:t>
      </w:r>
      <w:proofErr w:type="spellEnd"/>
      <w:r>
        <w:t xml:space="preserve"> </w:t>
      </w:r>
      <w:proofErr w:type="spellStart"/>
      <w:r>
        <w:t>behavioral</w:t>
      </w:r>
      <w:proofErr w:type="spellEnd"/>
      <w:r>
        <w:t xml:space="preserve">, </w:t>
      </w:r>
      <w:proofErr w:type="spellStart"/>
      <w:r>
        <w:t>psychological</w:t>
      </w:r>
      <w:proofErr w:type="spellEnd"/>
      <w:r>
        <w:t>, and cultural/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(</w:t>
      </w:r>
      <w:proofErr w:type="spellStart"/>
      <w:r>
        <w:t>namely</w:t>
      </w:r>
      <w:proofErr w:type="spellEnd"/>
      <w:r>
        <w:t xml:space="preserve">, strategies </w:t>
      </w:r>
      <w:proofErr w:type="spellStart"/>
      <w:r>
        <w:t>aimed</w:t>
      </w:r>
      <w:proofErr w:type="spellEnd"/>
      <w:r>
        <w:t xml:space="preserve"> to mitigate the </w:t>
      </w:r>
      <w:proofErr w:type="spellStart"/>
      <w:r>
        <w:t>phenomenon</w:t>
      </w:r>
      <w:proofErr w:type="spellEnd"/>
      <w:r>
        <w:t xml:space="preserve">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the </w:t>
      </w:r>
      <w:proofErr w:type="spellStart"/>
      <w:r>
        <w:t>progression</w:t>
      </w:r>
      <w:proofErr w:type="spellEnd"/>
      <w:r>
        <w:t xml:space="preserve"> of a SV to a more severe </w:t>
      </w:r>
      <w:proofErr w:type="spellStart"/>
      <w:r>
        <w:t>condition</w:t>
      </w:r>
      <w:proofErr w:type="spellEnd"/>
      <w:r>
        <w:t xml:space="preserve">.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strong social group-</w:t>
      </w:r>
      <w:proofErr w:type="spellStart"/>
      <w:r>
        <w:t>based</w:t>
      </w:r>
      <w:proofErr w:type="spellEnd"/>
      <w:r>
        <w:t xml:space="preserve"> support (e.g. family, friends, </w:t>
      </w:r>
      <w:proofErr w:type="spellStart"/>
      <w:r>
        <w:t>colleagues</w:t>
      </w:r>
      <w:proofErr w:type="spellEnd"/>
      <w:r>
        <w:t xml:space="preserve">/managers). </w:t>
      </w:r>
      <w:proofErr w:type="spellStart"/>
      <w:r>
        <w:t>However</w:t>
      </w:r>
      <w:proofErr w:type="spellEnd"/>
      <w:r>
        <w:t xml:space="preserve">, the Author made no </w:t>
      </w:r>
      <w:proofErr w:type="spellStart"/>
      <w:r>
        <w:t>distinction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and </w:t>
      </w:r>
      <w:proofErr w:type="spellStart"/>
      <w:r>
        <w:t>informal</w:t>
      </w:r>
      <w:proofErr w:type="spellEnd"/>
      <w:r>
        <w:t xml:space="preserve"> support.  The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in tools,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“</w:t>
      </w:r>
      <w:proofErr w:type="spellStart"/>
      <w:r>
        <w:t>critical</w:t>
      </w:r>
      <w:proofErr w:type="spellEnd"/>
      <w:r>
        <w:t xml:space="preserve"> stress </w:t>
      </w:r>
      <w:proofErr w:type="spellStart"/>
      <w:r>
        <w:t>incident</w:t>
      </w:r>
      <w:proofErr w:type="spellEnd"/>
      <w:r>
        <w:t xml:space="preserve"> management” </w:t>
      </w:r>
      <w:proofErr w:type="spellStart"/>
      <w:r>
        <w:t>approach</w:t>
      </w:r>
      <w:proofErr w:type="spellEnd"/>
      <w:r>
        <w:t xml:space="preserve">, </w:t>
      </w:r>
      <w:proofErr w:type="spellStart"/>
      <w:r>
        <w:t>used</w:t>
      </w:r>
      <w:proofErr w:type="spellEnd"/>
      <w:r>
        <w:t xml:space="preserve"> to mitigate the acute </w:t>
      </w:r>
      <w:proofErr w:type="spellStart"/>
      <w:r>
        <w:t>psychological</w:t>
      </w:r>
      <w:proofErr w:type="spellEnd"/>
      <w:r>
        <w:t xml:space="preserve"> distress. In </w:t>
      </w:r>
      <w:proofErr w:type="spellStart"/>
      <w:r>
        <w:t>addition</w:t>
      </w:r>
      <w:proofErr w:type="spellEnd"/>
      <w:r>
        <w:t xml:space="preserve">, a </w:t>
      </w:r>
      <w:proofErr w:type="spellStart"/>
      <w:r>
        <w:t>structured</w:t>
      </w:r>
      <w:proofErr w:type="spellEnd"/>
      <w:r>
        <w:t xml:space="preserve"> peer support system of </w:t>
      </w:r>
      <w:proofErr w:type="spellStart"/>
      <w:r>
        <w:t>colleagues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organizational</w:t>
      </w:r>
      <w:proofErr w:type="spellEnd"/>
      <w:r>
        <w:t xml:space="preserve"> culture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in just culture, or positive </w:t>
      </w:r>
      <w:proofErr w:type="spellStart"/>
      <w:r>
        <w:t>safety</w:t>
      </w:r>
      <w:proofErr w:type="spellEnd"/>
      <w:r>
        <w:t xml:space="preserve"> culture.</w:t>
      </w:r>
    </w:p>
    <w:p w14:paraId="11DF2590" w14:textId="77777777" w:rsidR="00FE2249" w:rsidRDefault="00FE2249"/>
    <w:p w14:paraId="38B0C9DF" w14:textId="77777777" w:rsidR="00FE2249" w:rsidRDefault="00000000">
      <w:pPr>
        <w:pStyle w:val="Ttulo2"/>
      </w:pPr>
      <w:bookmarkStart w:id="20" w:name="_hy8bjopcn8yc" w:colFirst="0" w:colLast="0"/>
      <w:bookmarkEnd w:id="20"/>
      <w:r>
        <w:t>Business</w:t>
      </w:r>
    </w:p>
    <w:p w14:paraId="713D5191" w14:textId="77777777" w:rsidR="00FE2249" w:rsidRDefault="00000000">
      <w:pPr>
        <w:ind w:firstLine="720"/>
      </w:pPr>
      <w:r>
        <w:t xml:space="preserve">The </w:t>
      </w:r>
      <w:proofErr w:type="spellStart"/>
      <w:r>
        <w:t>Chapter</w:t>
      </w:r>
      <w:proofErr w:type="spellEnd"/>
      <w:r>
        <w:t xml:space="preserve"> “</w:t>
      </w:r>
      <w:proofErr w:type="spellStart"/>
      <w:r>
        <w:t>Evaluating</w:t>
      </w:r>
      <w:proofErr w:type="spellEnd"/>
      <w:r>
        <w:t xml:space="preserve"> Just Culture and </w:t>
      </w:r>
      <w:proofErr w:type="spellStart"/>
      <w:r>
        <w:t>Restorative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: The Business Case” from the book “</w:t>
      </w:r>
      <w:proofErr w:type="spellStart"/>
      <w:r>
        <w:t>Restorative</w:t>
      </w:r>
      <w:proofErr w:type="spellEnd"/>
      <w:r>
        <w:t xml:space="preserve"> Just Culture in </w:t>
      </w:r>
      <w:proofErr w:type="spellStart"/>
      <w:r>
        <w:t>Practice</w:t>
      </w:r>
      <w:proofErr w:type="spellEnd"/>
      <w:r>
        <w:t>” [</w:t>
      </w:r>
      <w:r>
        <w:rPr>
          <w:shd w:val="clear" w:color="auto" w:fill="CCCCCC"/>
        </w:rPr>
        <w:t>Dekker 2022</w:t>
      </w:r>
      <w:r>
        <w:t xml:space="preserve">] </w:t>
      </w:r>
      <w:proofErr w:type="spellStart"/>
      <w:r>
        <w:t>discussed</w:t>
      </w:r>
      <w:proofErr w:type="spellEnd"/>
      <w:r>
        <w:t xml:space="preserve"> the SVP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restorative</w:t>
      </w:r>
      <w:proofErr w:type="spellEnd"/>
      <w:r>
        <w:t xml:space="preserve"> just culture. In </w:t>
      </w:r>
      <w:proofErr w:type="spellStart"/>
      <w:r>
        <w:t>detail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SV </w:t>
      </w:r>
      <w:proofErr w:type="spellStart"/>
      <w:r>
        <w:t>as</w:t>
      </w:r>
      <w:proofErr w:type="spellEnd"/>
      <w:r>
        <w:t xml:space="preserve"> the target for empowerment </w:t>
      </w:r>
      <w:proofErr w:type="spellStart"/>
      <w:r>
        <w:t>within</w:t>
      </w:r>
      <w:proofErr w:type="spellEnd"/>
      <w:r>
        <w:t xml:space="preserve"> a just culture </w:t>
      </w:r>
      <w:proofErr w:type="spellStart"/>
      <w:r>
        <w:t>approach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the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lastRenderedPageBreak/>
        <w:t>identified</w:t>
      </w:r>
      <w:proofErr w:type="spellEnd"/>
      <w:r>
        <w:t xml:space="preserve"> the SVP </w:t>
      </w:r>
      <w:proofErr w:type="spellStart"/>
      <w:r>
        <w:t>within</w:t>
      </w:r>
      <w:proofErr w:type="spellEnd"/>
      <w:r>
        <w:t xml:space="preserve"> the business </w:t>
      </w:r>
      <w:proofErr w:type="spellStart"/>
      <w:r>
        <w:t>sector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strategy to deal with </w:t>
      </w:r>
      <w:proofErr w:type="spellStart"/>
      <w:r>
        <w:t>it</w:t>
      </w:r>
      <w:proofErr w:type="spellEnd"/>
      <w:r>
        <w:t>.</w:t>
      </w:r>
    </w:p>
    <w:p w14:paraId="586F148C" w14:textId="77777777" w:rsidR="00FE2249" w:rsidRDefault="00FE2249"/>
    <w:p w14:paraId="387415DA" w14:textId="77777777" w:rsidR="00FE2249" w:rsidRDefault="00000000">
      <w:pPr>
        <w:pStyle w:val="Ttulo2"/>
      </w:pPr>
      <w:bookmarkStart w:id="21" w:name="_dui0ijkqpw8g" w:colFirst="0" w:colLast="0"/>
      <w:bookmarkEnd w:id="21"/>
      <w:r>
        <w:t>Construction</w:t>
      </w:r>
    </w:p>
    <w:p w14:paraId="5877219D" w14:textId="77777777" w:rsidR="00FE2249" w:rsidRDefault="00000000">
      <w:pPr>
        <w:ind w:firstLine="720"/>
      </w:pPr>
      <w:proofErr w:type="spellStart"/>
      <w:r>
        <w:t>Heraghty</w:t>
      </w:r>
      <w:proofErr w:type="spellEnd"/>
      <w:r>
        <w:t xml:space="preserve"> et al. [</w:t>
      </w:r>
      <w:proofErr w:type="spellStart"/>
      <w:r>
        <w:rPr>
          <w:shd w:val="clear" w:color="auto" w:fill="CCCCCC"/>
        </w:rPr>
        <w:t>Heraghty</w:t>
      </w:r>
      <w:proofErr w:type="spellEnd"/>
      <w:r>
        <w:rPr>
          <w:shd w:val="clear" w:color="auto" w:fill="CCCCCC"/>
        </w:rPr>
        <w:t xml:space="preserve"> 2018</w:t>
      </w:r>
      <w:r>
        <w:t xml:space="preserve">] </w:t>
      </w:r>
      <w:proofErr w:type="spellStart"/>
      <w:r>
        <w:t>cited</w:t>
      </w:r>
      <w:proofErr w:type="spellEnd"/>
      <w:r>
        <w:t xml:space="preserve"> the SV theory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. In </w:t>
      </w:r>
      <w:proofErr w:type="spellStart"/>
      <w:r>
        <w:t>detail</w:t>
      </w:r>
      <w:proofErr w:type="spellEnd"/>
      <w:r>
        <w:t xml:space="preserve">,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the writing styles of an </w:t>
      </w:r>
      <w:proofErr w:type="spellStart"/>
      <w:r>
        <w:t>incident</w:t>
      </w:r>
      <w:proofErr w:type="spellEnd"/>
      <w:r>
        <w:t xml:space="preserve"> report to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can </w:t>
      </w:r>
      <w:proofErr w:type="spellStart"/>
      <w:r>
        <w:t>influence</w:t>
      </w:r>
      <w:proofErr w:type="spellEnd"/>
      <w:r>
        <w:t xml:space="preserve"> the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. In </w:t>
      </w:r>
      <w:proofErr w:type="spellStart"/>
      <w:r>
        <w:t>detail</w:t>
      </w:r>
      <w:proofErr w:type="spellEnd"/>
      <w:r>
        <w:t xml:space="preserve">, 93 </w:t>
      </w:r>
      <w:proofErr w:type="spellStart"/>
      <w:r>
        <w:t>construction</w:t>
      </w:r>
      <w:proofErr w:type="spellEnd"/>
      <w:r>
        <w:t xml:space="preserve"> workers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preventive/</w:t>
      </w:r>
      <w:proofErr w:type="spellStart"/>
      <w:r>
        <w:t>corrective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after reading an </w:t>
      </w:r>
      <w:proofErr w:type="spellStart"/>
      <w:r>
        <w:t>accident</w:t>
      </w:r>
      <w:proofErr w:type="spellEnd"/>
      <w:r>
        <w:t xml:space="preserve"> report. </w:t>
      </w:r>
      <w:proofErr w:type="spellStart"/>
      <w:r>
        <w:t>As</w:t>
      </w:r>
      <w:proofErr w:type="spellEnd"/>
      <w:r>
        <w:t xml:space="preserve"> a major </w:t>
      </w:r>
      <w:proofErr w:type="spellStart"/>
      <w:r>
        <w:t>finding</w:t>
      </w:r>
      <w:proofErr w:type="spellEnd"/>
      <w:r>
        <w:t xml:space="preserve">,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report style can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impact on the </w:t>
      </w:r>
      <w:proofErr w:type="spellStart"/>
      <w:r>
        <w:t>outcome</w:t>
      </w:r>
      <w:proofErr w:type="spellEnd"/>
      <w:r>
        <w:t xml:space="preserve"> of the </w:t>
      </w:r>
      <w:proofErr w:type="spellStart"/>
      <w:r>
        <w:t>analysis</w:t>
      </w:r>
      <w:proofErr w:type="spellEnd"/>
      <w:r>
        <w:t xml:space="preserve">, and </w:t>
      </w:r>
      <w:proofErr w:type="spellStart"/>
      <w:r>
        <w:t>therefore</w:t>
      </w:r>
      <w:proofErr w:type="spellEnd"/>
      <w:r>
        <w:t xml:space="preserve"> a just culture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a positive and learning culture. </w:t>
      </w:r>
    </w:p>
    <w:p w14:paraId="6D516092" w14:textId="77777777" w:rsidR="00FE2249" w:rsidRDefault="00000000">
      <w:pPr>
        <w:ind w:firstLine="720"/>
      </w:pPr>
      <w:r>
        <w:t xml:space="preserve">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team [</w:t>
      </w:r>
      <w:proofErr w:type="spellStart"/>
      <w:r>
        <w:rPr>
          <w:shd w:val="clear" w:color="auto" w:fill="CCCCCC"/>
        </w:rPr>
        <w:t>Heraghty</w:t>
      </w:r>
      <w:proofErr w:type="spellEnd"/>
      <w:r>
        <w:rPr>
          <w:shd w:val="clear" w:color="auto" w:fill="CCCCCC"/>
        </w:rPr>
        <w:t xml:space="preserve"> 2021</w:t>
      </w:r>
      <w:r>
        <w:t xml:space="preserve">] </w:t>
      </w:r>
      <w:proofErr w:type="spellStart"/>
      <w:r>
        <w:t>published</w:t>
      </w:r>
      <w:proofErr w:type="spellEnd"/>
      <w:r>
        <w:t xml:space="preserve"> an action </w:t>
      </w:r>
      <w:proofErr w:type="spellStart"/>
      <w:r>
        <w:t>research</w:t>
      </w:r>
      <w:proofErr w:type="spellEnd"/>
      <w:r>
        <w:t xml:space="preserve"> study to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accident</w:t>
      </w:r>
      <w:proofErr w:type="spellEnd"/>
      <w:r>
        <w:t xml:space="preserve"> learning and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. An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companies, and workers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a survey to express </w:t>
      </w:r>
      <w:proofErr w:type="spellStart"/>
      <w:r>
        <w:t>their</w:t>
      </w:r>
      <w:proofErr w:type="spellEnd"/>
      <w:r>
        <w:t xml:space="preserve"> opinions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procedure. </w:t>
      </w:r>
      <w:proofErr w:type="spellStart"/>
      <w:r>
        <w:t>As</w:t>
      </w:r>
      <w:proofErr w:type="spellEnd"/>
      <w:r>
        <w:t xml:space="preserve"> a major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restorative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can </w:t>
      </w:r>
      <w:proofErr w:type="spellStart"/>
      <w:r>
        <w:t>give</w:t>
      </w:r>
      <w:proofErr w:type="spellEnd"/>
      <w:r>
        <w:t xml:space="preserve"> benefits for </w:t>
      </w:r>
      <w:proofErr w:type="spellStart"/>
      <w:r>
        <w:t>both</w:t>
      </w:r>
      <w:proofErr w:type="spellEnd"/>
      <w:r>
        <w:t xml:space="preserve"> workers and </w:t>
      </w:r>
      <w:proofErr w:type="spellStart"/>
      <w:r>
        <w:t>organization</w:t>
      </w:r>
      <w:proofErr w:type="spellEnd"/>
      <w:r>
        <w:t xml:space="preserve">. In </w:t>
      </w:r>
      <w:proofErr w:type="spellStart"/>
      <w:r>
        <w:t>detail</w:t>
      </w:r>
      <w:proofErr w:type="spellEnd"/>
      <w:r>
        <w:t xml:space="preserve">, the </w:t>
      </w:r>
      <w:proofErr w:type="spellStart"/>
      <w:r>
        <w:t>absence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punishment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an open </w:t>
      </w:r>
      <w:proofErr w:type="spellStart"/>
      <w:r>
        <w:t>disclosure</w:t>
      </w:r>
      <w:proofErr w:type="spellEnd"/>
      <w:r>
        <w:t xml:space="preserve"> of </w:t>
      </w:r>
      <w:proofErr w:type="spellStart"/>
      <w:r>
        <w:t>accidents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minimized</w:t>
      </w:r>
      <w:proofErr w:type="spellEnd"/>
      <w:r>
        <w:t xml:space="preserve"> the second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, with positive benefits. </w:t>
      </w:r>
    </w:p>
    <w:p w14:paraId="65F2A764" w14:textId="77777777" w:rsidR="00FE2249" w:rsidRDefault="00FE2249">
      <w:pPr>
        <w:pStyle w:val="Ttulo2"/>
      </w:pPr>
      <w:bookmarkStart w:id="22" w:name="_qyb7xmhdq19j" w:colFirst="0" w:colLast="0"/>
      <w:bookmarkEnd w:id="22"/>
    </w:p>
    <w:p w14:paraId="290C85D0" w14:textId="77777777" w:rsidR="00FE2249" w:rsidRDefault="00000000">
      <w:pPr>
        <w:pStyle w:val="Ttulo2"/>
      </w:pPr>
      <w:bookmarkStart w:id="23" w:name="_t88fju52m7zq" w:colFirst="0" w:colLast="0"/>
      <w:bookmarkEnd w:id="23"/>
      <w:r>
        <w:t>Emergency services</w:t>
      </w:r>
    </w:p>
    <w:p w14:paraId="60765846" w14:textId="77777777" w:rsidR="00FE2249" w:rsidRDefault="00000000">
      <w:r>
        <w:t>IN GERMAN/WORK IN PROGRESS</w:t>
      </w:r>
    </w:p>
    <w:p w14:paraId="37255BDC" w14:textId="77777777" w:rsidR="00FE2249" w:rsidRDefault="00FE2249"/>
    <w:p w14:paraId="2F41C603" w14:textId="77777777" w:rsidR="00FE2249" w:rsidRDefault="00000000">
      <w:pPr>
        <w:pStyle w:val="Ttulo2"/>
      </w:pPr>
      <w:bookmarkStart w:id="24" w:name="_tsbtw8qk54kp" w:colFirst="0" w:colLast="0"/>
      <w:bookmarkEnd w:id="24"/>
      <w:r>
        <w:t>Engineering</w:t>
      </w:r>
    </w:p>
    <w:p w14:paraId="095638AF" w14:textId="77777777" w:rsidR="00FE2249" w:rsidRDefault="00000000">
      <w:pPr>
        <w:ind w:firstLine="720"/>
      </w:pPr>
      <w:r>
        <w:t>Hayes et al. [</w:t>
      </w:r>
      <w:r>
        <w:rPr>
          <w:shd w:val="clear" w:color="auto" w:fill="CCCCCC"/>
        </w:rPr>
        <w:t>Hayes 2018</w:t>
      </w:r>
      <w:r>
        <w:t xml:space="preserve">] </w:t>
      </w:r>
      <w:proofErr w:type="spellStart"/>
      <w:r>
        <w:t>explored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making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, more </w:t>
      </w:r>
      <w:proofErr w:type="spellStart"/>
      <w:r>
        <w:t>specifically</w:t>
      </w:r>
      <w:proofErr w:type="spellEnd"/>
      <w:r>
        <w:t xml:space="preserve"> the </w:t>
      </w:r>
      <w:proofErr w:type="spellStart"/>
      <w:r>
        <w:t>defensive</w:t>
      </w:r>
      <w:proofErr w:type="spellEnd"/>
      <w:r>
        <w:t xml:space="preserve"> engineering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questionnaire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to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defensive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in the human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, the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defensive</w:t>
      </w:r>
      <w:proofErr w:type="spellEnd"/>
      <w:r>
        <w:t xml:space="preserve"> engineering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scarce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major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engineers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defensive</w:t>
      </w:r>
      <w:proofErr w:type="spellEnd"/>
      <w:r>
        <w:t xml:space="preserve"> engineering strategies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from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;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aligned</w:t>
      </w:r>
      <w:proofErr w:type="spellEnd"/>
      <w:r>
        <w:t xml:space="preserve"> with the best </w:t>
      </w:r>
      <w:r>
        <w:lastRenderedPageBreak/>
        <w:t xml:space="preserve">strategies for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discussing</w:t>
      </w:r>
      <w:proofErr w:type="spellEnd"/>
      <w:r>
        <w:t xml:space="preserve"> moral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,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argued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engineers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impacted</w:t>
      </w:r>
      <w:proofErr w:type="spellEnd"/>
      <w:r>
        <w:t xml:space="preserve"> by the negative </w:t>
      </w:r>
      <w:proofErr w:type="spellStart"/>
      <w:r>
        <w:t>consequences</w:t>
      </w:r>
      <w:proofErr w:type="spellEnd"/>
      <w:r>
        <w:t xml:space="preserve"> of the event,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observing</w:t>
      </w:r>
      <w:proofErr w:type="spellEnd"/>
      <w:r>
        <w:t xml:space="preserve"> the event.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engineers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and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to the SVP in </w:t>
      </w:r>
      <w:proofErr w:type="spellStart"/>
      <w:r>
        <w:t>healthcare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the </w:t>
      </w:r>
      <w:proofErr w:type="spellStart"/>
      <w:r>
        <w:t>phenomenon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. </w:t>
      </w:r>
    </w:p>
    <w:p w14:paraId="4BC95203" w14:textId="77777777" w:rsidR="00FE2249" w:rsidRDefault="00000000">
      <w:pPr>
        <w:ind w:firstLine="720"/>
      </w:pPr>
      <w:r>
        <w:t xml:space="preserve">The book </w:t>
      </w:r>
      <w:proofErr w:type="spellStart"/>
      <w:r>
        <w:t>published</w:t>
      </w:r>
      <w:proofErr w:type="spellEnd"/>
      <w:r>
        <w:t xml:space="preserve"> by Smith et al. [</w:t>
      </w:r>
      <w:r>
        <w:rPr>
          <w:shd w:val="clear" w:color="auto" w:fill="CCCCCC"/>
        </w:rPr>
        <w:t>Smith 2017</w:t>
      </w:r>
      <w:proofErr w:type="gramStart"/>
      <w:r>
        <w:t xml:space="preserve">]  </w:t>
      </w:r>
      <w:proofErr w:type="spellStart"/>
      <w:r>
        <w:t>discussed</w:t>
      </w:r>
      <w:proofErr w:type="spellEnd"/>
      <w:proofErr w:type="gramEnd"/>
      <w:r>
        <w:t xml:space="preserve"> cognitive systems engineering, and an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(“</w:t>
      </w:r>
      <w:proofErr w:type="spellStart"/>
      <w:r>
        <w:t>Speaking</w:t>
      </w:r>
      <w:proofErr w:type="spellEnd"/>
      <w:r>
        <w:t xml:space="preserve"> for the Second </w:t>
      </w:r>
      <w:proofErr w:type="spellStart"/>
      <w:r>
        <w:t>Victim</w:t>
      </w:r>
      <w:proofErr w:type="spellEnd"/>
      <w:r>
        <w:t xml:space="preserve">”)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to SV.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the </w:t>
      </w:r>
      <w:proofErr w:type="spellStart"/>
      <w:r>
        <w:t>definition</w:t>
      </w:r>
      <w:proofErr w:type="spellEnd"/>
      <w:r>
        <w:t xml:space="preserve"> made by Dekker [</w:t>
      </w:r>
      <w:r>
        <w:rPr>
          <w:highlight w:val="red"/>
        </w:rPr>
        <w:t>REF</w:t>
      </w:r>
      <w:r>
        <w:t xml:space="preserve">]. The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discusses</w:t>
      </w:r>
      <w:proofErr w:type="spellEnd"/>
      <w:r>
        <w:t xml:space="preserve"> the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SV point of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the second </w:t>
      </w:r>
      <w:proofErr w:type="spellStart"/>
      <w:r>
        <w:t>victim</w:t>
      </w:r>
      <w:proofErr w:type="spellEnd"/>
      <w:r>
        <w:t xml:space="preserve"> can </w:t>
      </w:r>
      <w:proofErr w:type="spellStart"/>
      <w:r>
        <w:t>not</w:t>
      </w:r>
      <w:proofErr w:type="spellEnd"/>
      <w:r>
        <w:t xml:space="preserve"> express </w:t>
      </w:r>
      <w:proofErr w:type="spellStart"/>
      <w:r>
        <w:t>himself</w:t>
      </w:r>
      <w:proofErr w:type="spellEnd"/>
      <w:r>
        <w:t xml:space="preserve"> (i.e.,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deceased</w:t>
      </w:r>
      <w:proofErr w:type="spellEnd"/>
      <w:r>
        <w:t xml:space="preserve">).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information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or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SVs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the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listening</w:t>
      </w:r>
      <w:proofErr w:type="spellEnd"/>
      <w:r>
        <w:t xml:space="preserve"> to the SV </w:t>
      </w:r>
      <w:proofErr w:type="spellStart"/>
      <w:r>
        <w:t>experience</w:t>
      </w:r>
      <w:proofErr w:type="spellEnd"/>
      <w:r>
        <w:t xml:space="preserve"> (or,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,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>).</w:t>
      </w:r>
    </w:p>
    <w:p w14:paraId="055C1F06" w14:textId="77777777" w:rsidR="00FE2249" w:rsidRDefault="00FE2249">
      <w:pPr>
        <w:pStyle w:val="Ttulo2"/>
      </w:pPr>
      <w:bookmarkStart w:id="25" w:name="_8ntgxhxcttas" w:colFirst="0" w:colLast="0"/>
      <w:bookmarkEnd w:id="25"/>
    </w:p>
    <w:p w14:paraId="3A1EEC2B" w14:textId="77777777" w:rsidR="00FE2249" w:rsidRDefault="00000000">
      <w:pPr>
        <w:pStyle w:val="Ttulo2"/>
      </w:pPr>
      <w:bookmarkStart w:id="26" w:name="_jc8f1edcq3cr" w:colFirst="0" w:colLast="0"/>
      <w:bookmarkEnd w:id="26"/>
      <w:commentRangeStart w:id="27"/>
      <w:proofErr w:type="spellStart"/>
      <w:r>
        <w:t>Pharmacy</w:t>
      </w:r>
      <w:commentRangeEnd w:id="27"/>
      <w:proofErr w:type="spellEnd"/>
      <w:r w:rsidR="00CF458D">
        <w:rPr>
          <w:rStyle w:val="Refdecomentario"/>
          <w:b w:val="0"/>
        </w:rPr>
        <w:commentReference w:id="27"/>
      </w:r>
    </w:p>
    <w:p w14:paraId="4F56EFEF" w14:textId="77777777" w:rsidR="00FE2249" w:rsidRDefault="00000000">
      <w:pPr>
        <w:ind w:firstLine="720"/>
      </w:pPr>
      <w:r>
        <w:t xml:space="preserve">The </w:t>
      </w:r>
      <w:proofErr w:type="spellStart"/>
      <w:r>
        <w:t>editorial</w:t>
      </w:r>
      <w:proofErr w:type="spellEnd"/>
      <w:r>
        <w:t xml:space="preserve"> by Arti et al. [</w:t>
      </w:r>
      <w:r>
        <w:rPr>
          <w:shd w:val="clear" w:color="auto" w:fill="CCCCCC"/>
        </w:rPr>
        <w:t>Arti 2020</w:t>
      </w:r>
      <w:r>
        <w:t xml:space="preserve">] </w:t>
      </w:r>
      <w:proofErr w:type="spellStart"/>
      <w:r>
        <w:t>proposed</w:t>
      </w:r>
      <w:proofErr w:type="spellEnd"/>
      <w:r>
        <w:t xml:space="preserve"> strategies and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to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dispensing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risk in </w:t>
      </w:r>
      <w:proofErr w:type="spellStart"/>
      <w:r>
        <w:t>pharmacy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the SVP, </w:t>
      </w:r>
      <w:proofErr w:type="spellStart"/>
      <w:r>
        <w:t>adopting</w:t>
      </w:r>
      <w:proofErr w:type="spellEnd"/>
      <w:r>
        <w:t xml:space="preserve"> the </w:t>
      </w:r>
      <w:proofErr w:type="spellStart"/>
      <w:r>
        <w:t>definition</w:t>
      </w:r>
      <w:proofErr w:type="spellEnd"/>
      <w:r>
        <w:t xml:space="preserve"> by Scott et al. [</w:t>
      </w:r>
      <w:r>
        <w:rPr>
          <w:highlight w:val="red"/>
        </w:rPr>
        <w:t>REF</w:t>
      </w:r>
      <w:r>
        <w:t xml:space="preserve">]. </w:t>
      </w:r>
      <w:proofErr w:type="spellStart"/>
      <w:r>
        <w:t>Moreover</w:t>
      </w:r>
      <w:proofErr w:type="spellEnd"/>
      <w:r>
        <w:t xml:space="preserve">, the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 xml:space="preserve"> the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SVs</w:t>
      </w:r>
      <w:proofErr w:type="spellEnd"/>
      <w:r>
        <w:t xml:space="preserve"> are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supportive </w:t>
      </w:r>
      <w:proofErr w:type="spellStart"/>
      <w:r>
        <w:t>approach</w:t>
      </w:r>
      <w:proofErr w:type="spellEnd"/>
      <w:r>
        <w:t xml:space="preserve">,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the </w:t>
      </w:r>
      <w:proofErr w:type="spellStart"/>
      <w:r>
        <w:t>components</w:t>
      </w:r>
      <w:proofErr w:type="spellEnd"/>
      <w:r>
        <w:t xml:space="preserve"> for a </w:t>
      </w:r>
      <w:proofErr w:type="spellStart"/>
      <w:r>
        <w:t>potential</w:t>
      </w:r>
      <w:proofErr w:type="spellEnd"/>
      <w:r>
        <w:t xml:space="preserve"> support </w:t>
      </w:r>
      <w:proofErr w:type="spellStart"/>
      <w:r>
        <w:t>program</w:t>
      </w:r>
      <w:proofErr w:type="spellEnd"/>
      <w:r>
        <w:t xml:space="preserve"> for </w:t>
      </w:r>
      <w:proofErr w:type="spellStart"/>
      <w:r>
        <w:t>SVs</w:t>
      </w:r>
      <w:proofErr w:type="spellEnd"/>
      <w:r>
        <w:t xml:space="preserve"> (e.g., safe </w:t>
      </w:r>
      <w:proofErr w:type="spellStart"/>
      <w:r>
        <w:t>space</w:t>
      </w:r>
      <w:proofErr w:type="spellEnd"/>
      <w:r>
        <w:t xml:space="preserve"> for </w:t>
      </w:r>
      <w:proofErr w:type="spellStart"/>
      <w:r>
        <w:t>reviewing</w:t>
      </w:r>
      <w:proofErr w:type="spellEnd"/>
      <w:r>
        <w:t xml:space="preserve"> the </w:t>
      </w:r>
      <w:proofErr w:type="spellStart"/>
      <w:r>
        <w:t>accident</w:t>
      </w:r>
      <w:proofErr w:type="spellEnd"/>
      <w:r>
        <w:t xml:space="preserve">, </w:t>
      </w:r>
      <w:proofErr w:type="spellStart"/>
      <w:r>
        <w:t>basic</w:t>
      </w:r>
      <w:proofErr w:type="spellEnd"/>
      <w:r>
        <w:t xml:space="preserve"> peer and </w:t>
      </w:r>
      <w:proofErr w:type="spellStart"/>
      <w:r>
        <w:t>professional</w:t>
      </w:r>
      <w:proofErr w:type="spellEnd"/>
      <w:r>
        <w:t xml:space="preserve"> support).</w:t>
      </w:r>
    </w:p>
    <w:p w14:paraId="553F7425" w14:textId="77777777" w:rsidR="00FE2249" w:rsidRDefault="00FE2249"/>
    <w:p w14:paraId="7E57A4DA" w14:textId="77777777" w:rsidR="00FE2249" w:rsidRDefault="00000000">
      <w:pPr>
        <w:pStyle w:val="Ttulo2"/>
      </w:pPr>
      <w:bookmarkStart w:id="28" w:name="_vvbnm9k2wjhd" w:colFirst="0" w:colLast="0"/>
      <w:bookmarkEnd w:id="28"/>
      <w:commentRangeStart w:id="29"/>
      <w:proofErr w:type="spellStart"/>
      <w:r>
        <w:t>Simulation</w:t>
      </w:r>
      <w:proofErr w:type="spellEnd"/>
    </w:p>
    <w:p w14:paraId="035C313D" w14:textId="77777777" w:rsidR="00FE2249" w:rsidRDefault="00000000">
      <w:pPr>
        <w:ind w:firstLine="720"/>
      </w:pPr>
      <w:r>
        <w:t>One case report [</w:t>
      </w:r>
      <w:proofErr w:type="spellStart"/>
      <w:r>
        <w:rPr>
          <w:shd w:val="clear" w:color="auto" w:fill="CCCCCC"/>
        </w:rPr>
        <w:t>Naweed</w:t>
      </w:r>
      <w:proofErr w:type="spellEnd"/>
      <w:r>
        <w:rPr>
          <w:shd w:val="clear" w:color="auto" w:fill="CCCCCC"/>
        </w:rPr>
        <w:t xml:space="preserve"> 2021</w:t>
      </w:r>
      <w:r>
        <w:t xml:space="preserve">] </w:t>
      </w:r>
      <w:proofErr w:type="spellStart"/>
      <w:r>
        <w:t>dealt</w:t>
      </w:r>
      <w:proofErr w:type="spellEnd"/>
      <w:r>
        <w:t xml:space="preserve"> with SV in </w:t>
      </w:r>
      <w:proofErr w:type="spellStart"/>
      <w:r>
        <w:t>simulation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the </w:t>
      </w:r>
      <w:proofErr w:type="spellStart"/>
      <w:r>
        <w:t>reported</w:t>
      </w:r>
      <w:proofErr w:type="spellEnd"/>
      <w:r>
        <w:t xml:space="preserve"> situation </w:t>
      </w:r>
      <w:commentRangeEnd w:id="29"/>
      <w:r w:rsidR="00A42C71">
        <w:rPr>
          <w:rStyle w:val="Refdecomentario"/>
        </w:rPr>
        <w:commentReference w:id="29"/>
      </w:r>
      <w:proofErr w:type="spellStart"/>
      <w:r>
        <w:t>were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paper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dealt</w:t>
      </w:r>
      <w:proofErr w:type="spellEnd"/>
      <w:r>
        <w:t xml:space="preserve"> with clinical </w:t>
      </w:r>
      <w:proofErr w:type="spellStart"/>
      <w:r>
        <w:t>practice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 highlight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 xml:space="preserve"> and </w:t>
      </w:r>
      <w:proofErr w:type="spellStart"/>
      <w:r>
        <w:t>facilitators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to </w:t>
      </w:r>
      <w:proofErr w:type="spellStart"/>
      <w:r>
        <w:t>adverse</w:t>
      </w:r>
      <w:proofErr w:type="spellEnd"/>
      <w:r>
        <w:t xml:space="preserve"> events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activity, </w:t>
      </w:r>
      <w:proofErr w:type="gramStart"/>
      <w:r>
        <w:t>in a</w:t>
      </w:r>
      <w:proofErr w:type="gram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to the clinical </w:t>
      </w:r>
      <w:proofErr w:type="spellStart"/>
      <w:r>
        <w:t>practice</w:t>
      </w:r>
      <w:proofErr w:type="spellEnd"/>
      <w:r>
        <w:t xml:space="preserve">. The report </w:t>
      </w:r>
      <w:proofErr w:type="spellStart"/>
      <w:r>
        <w:t>described</w:t>
      </w:r>
      <w:proofErr w:type="spellEnd"/>
      <w:r>
        <w:t xml:space="preserve"> a </w:t>
      </w:r>
      <w:proofErr w:type="spellStart"/>
      <w:r>
        <w:t>panic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of a facilitator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simulated</w:t>
      </w:r>
      <w:proofErr w:type="spellEnd"/>
      <w:r>
        <w:t xml:space="preserve"> </w:t>
      </w:r>
      <w:proofErr w:type="spellStart"/>
      <w:r>
        <w:t>evacuation</w:t>
      </w:r>
      <w:proofErr w:type="spellEnd"/>
      <w:r>
        <w:t xml:space="preserve"> scenario. </w:t>
      </w:r>
      <w:proofErr w:type="spellStart"/>
      <w:r>
        <w:t>Therefore</w:t>
      </w:r>
      <w:proofErr w:type="spellEnd"/>
      <w:r>
        <w:t xml:space="preserve">,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facilitators</w:t>
      </w:r>
      <w:proofErr w:type="spellEnd"/>
      <w:r>
        <w:t xml:space="preserve"> “are </w:t>
      </w:r>
      <w:proofErr w:type="spellStart"/>
      <w:r>
        <w:t>equally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 to </w:t>
      </w:r>
      <w:proofErr w:type="spellStart"/>
      <w:r>
        <w:t>breaches</w:t>
      </w:r>
      <w:proofErr w:type="spellEnd"/>
      <w:r>
        <w:t xml:space="preserve"> in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(</w:t>
      </w:r>
      <w:proofErr w:type="spellStart"/>
      <w:r>
        <w:t>physical</w:t>
      </w:r>
      <w:proofErr w:type="spellEnd"/>
      <w:r>
        <w:t xml:space="preserve"> or </w:t>
      </w:r>
      <w:proofErr w:type="spellStart"/>
      <w:r>
        <w:t>psychological</w:t>
      </w:r>
      <w:proofErr w:type="spellEnd"/>
      <w:r>
        <w:t xml:space="preserve">)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lastRenderedPageBreak/>
        <w:t>learners</w:t>
      </w:r>
      <w:proofErr w:type="spellEnd"/>
      <w:r>
        <w:t xml:space="preserve">”. In </w:t>
      </w:r>
      <w:proofErr w:type="spellStart"/>
      <w:r>
        <w:t>conclusion</w:t>
      </w:r>
      <w:proofErr w:type="spellEnd"/>
      <w:r>
        <w:t xml:space="preserve">,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the </w:t>
      </w:r>
      <w:proofErr w:type="spellStart"/>
      <w:r>
        <w:t>importance</w:t>
      </w:r>
      <w:proofErr w:type="spellEnd"/>
      <w:r>
        <w:t xml:space="preserve"> of self care, and open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for simulators. </w:t>
      </w:r>
    </w:p>
    <w:p w14:paraId="02D9B62C" w14:textId="77777777" w:rsidR="00FE2249" w:rsidRDefault="00FE2249">
      <w:pPr>
        <w:ind w:firstLine="720"/>
      </w:pPr>
    </w:p>
    <w:p w14:paraId="752E749F" w14:textId="77777777" w:rsidR="00FE2249" w:rsidRDefault="00000000">
      <w:pPr>
        <w:pStyle w:val="Ttulo2"/>
      </w:pPr>
      <w:bookmarkStart w:id="30" w:name="_amhq0nmqotxd" w:colFirst="0" w:colLast="0"/>
      <w:bookmarkEnd w:id="30"/>
      <w:r>
        <w:t xml:space="preserve">Social Workers and Child </w:t>
      </w:r>
      <w:proofErr w:type="spellStart"/>
      <w:r>
        <w:t>Protection</w:t>
      </w:r>
      <w:proofErr w:type="spellEnd"/>
      <w:r>
        <w:t xml:space="preserve"> Systems </w:t>
      </w:r>
    </w:p>
    <w:p w14:paraId="123CF246" w14:textId="77777777" w:rsidR="00FE2249" w:rsidRDefault="00000000">
      <w:pPr>
        <w:ind w:firstLine="720"/>
      </w:pPr>
      <w:r>
        <w:t xml:space="preserve">A mixed </w:t>
      </w:r>
      <w:proofErr w:type="spellStart"/>
      <w:r>
        <w:t>method</w:t>
      </w:r>
      <w:proofErr w:type="spellEnd"/>
      <w:r>
        <w:t xml:space="preserve"> study [</w:t>
      </w:r>
      <w:proofErr w:type="spellStart"/>
      <w:r>
        <w:rPr>
          <w:shd w:val="clear" w:color="auto" w:fill="CCCCCC"/>
        </w:rPr>
        <w:t>Sugrue</w:t>
      </w:r>
      <w:proofErr w:type="spellEnd"/>
      <w:r>
        <w:rPr>
          <w:shd w:val="clear" w:color="auto" w:fill="CCCCCC"/>
        </w:rPr>
        <w:t xml:space="preserve"> 2017</w:t>
      </w:r>
      <w:r>
        <w:t xml:space="preserve">] </w:t>
      </w:r>
      <w:proofErr w:type="spellStart"/>
      <w:r>
        <w:t>discussed</w:t>
      </w:r>
      <w:proofErr w:type="spellEnd"/>
      <w:r>
        <w:t xml:space="preserve"> the moral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qualitative and quantitative information </w:t>
      </w:r>
      <w:proofErr w:type="spellStart"/>
      <w:r>
        <w:t>through</w:t>
      </w:r>
      <w:proofErr w:type="spellEnd"/>
      <w:r>
        <w:t xml:space="preserve"> surveys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professionals</w:t>
      </w:r>
      <w:proofErr w:type="spellEnd"/>
      <w:r>
        <w:t xml:space="preserve"> working in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systems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counties</w:t>
      </w:r>
      <w:proofErr w:type="spellEnd"/>
      <w:r>
        <w:t xml:space="preserve"> to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can </w:t>
      </w:r>
      <w:proofErr w:type="spellStart"/>
      <w:r>
        <w:t>experience</w:t>
      </w:r>
      <w:proofErr w:type="spellEnd"/>
      <w:r>
        <w:t xml:space="preserve"> moral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work </w:t>
      </w:r>
      <w:proofErr w:type="spellStart"/>
      <w:r>
        <w:t>within</w:t>
      </w:r>
      <w:proofErr w:type="spellEnd"/>
      <w:r>
        <w:t xml:space="preserve"> CPS. The </w:t>
      </w:r>
      <w:proofErr w:type="spellStart"/>
      <w:r>
        <w:t>Authors</w:t>
      </w:r>
      <w:proofErr w:type="spellEnd"/>
      <w:r>
        <w:t xml:space="preserve"> made some </w:t>
      </w:r>
      <w:proofErr w:type="spellStart"/>
      <w:r>
        <w:t>parallelism</w:t>
      </w:r>
      <w:proofErr w:type="spellEnd"/>
      <w:r>
        <w:t xml:space="preserve"> with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, and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SVs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</w:t>
      </w:r>
      <w:proofErr w:type="spellStart"/>
      <w:r>
        <w:t>experiencing</w:t>
      </w:r>
      <w:proofErr w:type="spellEnd"/>
      <w:r>
        <w:t xml:space="preserve"> a moral </w:t>
      </w:r>
      <w:proofErr w:type="spellStart"/>
      <w:r>
        <w:t>injury</w:t>
      </w:r>
      <w:proofErr w:type="spellEnd"/>
      <w:r>
        <w:t xml:space="preserve">. Study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moral </w:t>
      </w:r>
      <w:proofErr w:type="spellStart"/>
      <w:r>
        <w:t>injurious</w:t>
      </w:r>
      <w:proofErr w:type="spellEnd"/>
      <w:r>
        <w:t xml:space="preserve"> events </w:t>
      </w:r>
      <w:proofErr w:type="spellStart"/>
      <w:r>
        <w:t>as</w:t>
      </w:r>
      <w:proofErr w:type="spellEnd"/>
      <w:r>
        <w:t xml:space="preserve"> “</w:t>
      </w:r>
      <w:proofErr w:type="spellStart"/>
      <w:r>
        <w:t>occurring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actions or </w:t>
      </w:r>
      <w:proofErr w:type="spellStart"/>
      <w:r>
        <w:t>inactions</w:t>
      </w:r>
      <w:proofErr w:type="spellEnd"/>
      <w:r>
        <w:t xml:space="preserve"> by people or systems </w:t>
      </w:r>
      <w:proofErr w:type="spellStart"/>
      <w:r>
        <w:t>entrusted</w:t>
      </w:r>
      <w:proofErr w:type="spellEnd"/>
      <w:r>
        <w:t xml:space="preserve"> with </w:t>
      </w:r>
      <w:proofErr w:type="spellStart"/>
      <w:r>
        <w:t>helping</w:t>
      </w:r>
      <w:proofErr w:type="spellEnd"/>
      <w:r>
        <w:t xml:space="preserve"> or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”. The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resources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major cause of the </w:t>
      </w:r>
      <w:proofErr w:type="spellStart"/>
      <w:r>
        <w:t>occurrence</w:t>
      </w:r>
      <w:proofErr w:type="spellEnd"/>
      <w:r>
        <w:t xml:space="preserve"> of moral </w:t>
      </w:r>
      <w:proofErr w:type="spellStart"/>
      <w:r>
        <w:t>injurious</w:t>
      </w:r>
      <w:proofErr w:type="spellEnd"/>
      <w:r>
        <w:t xml:space="preserve"> events.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in </w:t>
      </w:r>
      <w:proofErr w:type="spellStart"/>
      <w:r>
        <w:t>laws</w:t>
      </w:r>
      <w:proofErr w:type="spellEnd"/>
      <w:r>
        <w:t xml:space="preserve">, policies, and </w:t>
      </w:r>
      <w:proofErr w:type="spellStart"/>
      <w:r>
        <w:t>procedures</w:t>
      </w:r>
      <w:proofErr w:type="spellEnd"/>
      <w:r>
        <w:t xml:space="preserve">. With </w:t>
      </w:r>
      <w:proofErr w:type="spellStart"/>
      <w:r>
        <w:t>regards</w:t>
      </w:r>
      <w:proofErr w:type="spellEnd"/>
      <w:r>
        <w:t xml:space="preserve"> to the </w:t>
      </w:r>
      <w:proofErr w:type="spellStart"/>
      <w:r>
        <w:t>professionals</w:t>
      </w:r>
      <w:proofErr w:type="spellEnd"/>
      <w:r>
        <w:t xml:space="preserve">’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distress, and </w:t>
      </w:r>
      <w:proofErr w:type="spellStart"/>
      <w:r>
        <w:t>existential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quitting</w:t>
      </w:r>
      <w:proofErr w:type="spellEnd"/>
      <w:r>
        <w:t xml:space="preserve"> the job </w:t>
      </w:r>
      <w:proofErr w:type="spellStart"/>
      <w:r>
        <w:t>as</w:t>
      </w:r>
      <w:proofErr w:type="spellEnd"/>
      <w:r>
        <w:t xml:space="preserve"> a major </w:t>
      </w:r>
      <w:proofErr w:type="spellStart"/>
      <w:r>
        <w:t>consequence</w:t>
      </w:r>
      <w:proofErr w:type="spellEnd"/>
      <w:r>
        <w:t xml:space="preserve"> of moral </w:t>
      </w:r>
      <w:proofErr w:type="spellStart"/>
      <w:r>
        <w:t>injury</w:t>
      </w:r>
      <w:proofErr w:type="spellEnd"/>
      <w:r>
        <w:t>.</w:t>
      </w:r>
    </w:p>
    <w:p w14:paraId="4727313C" w14:textId="77777777" w:rsidR="00FE2249" w:rsidRDefault="00000000">
      <w:r>
        <w:tab/>
        <w:t xml:space="preserve">The work by </w:t>
      </w:r>
      <w:proofErr w:type="spellStart"/>
      <w:r>
        <w:t>Kvitsiani</w:t>
      </w:r>
      <w:proofErr w:type="spellEnd"/>
      <w:r>
        <w:t xml:space="preserve"> [</w:t>
      </w:r>
      <w:proofErr w:type="spellStart"/>
      <w:r>
        <w:rPr>
          <w:shd w:val="clear" w:color="auto" w:fill="CCCCCC"/>
        </w:rPr>
        <w:t>Kvitsiani</w:t>
      </w:r>
      <w:proofErr w:type="spellEnd"/>
      <w:r>
        <w:rPr>
          <w:shd w:val="clear" w:color="auto" w:fill="CCCCCC"/>
        </w:rPr>
        <w:t xml:space="preserve"> 2023</w:t>
      </w:r>
      <w:r>
        <w:t xml:space="preserve">] </w:t>
      </w:r>
      <w:proofErr w:type="spellStart"/>
      <w:r>
        <w:t>aimed</w:t>
      </w:r>
      <w:proofErr w:type="spellEnd"/>
      <w:r>
        <w:t xml:space="preserve"> to </w:t>
      </w:r>
      <w:proofErr w:type="spellStart"/>
      <w:r>
        <w:t>explore</w:t>
      </w:r>
      <w:proofErr w:type="spellEnd"/>
      <w:r>
        <w:t xml:space="preserve"> the </w:t>
      </w:r>
      <w:proofErr w:type="spellStart"/>
      <w:r>
        <w:t>dynamic</w:t>
      </w:r>
      <w:proofErr w:type="spellEnd"/>
      <w:r>
        <w:t xml:space="preserve"> of moral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social workers (e.g., </w:t>
      </w:r>
      <w:commentRangeStart w:id="31"/>
      <w:r>
        <w:t xml:space="preserve">doctors, </w:t>
      </w:r>
      <w:proofErr w:type="spellStart"/>
      <w:r>
        <w:t>psychiatrists</w:t>
      </w:r>
      <w:commentRangeEnd w:id="31"/>
      <w:proofErr w:type="spellEnd"/>
      <w:r w:rsidR="00CF458D">
        <w:rPr>
          <w:rStyle w:val="Refdecomentario"/>
        </w:rPr>
        <w:commentReference w:id="31"/>
      </w:r>
      <w:r>
        <w:t xml:space="preserve">, call center </w:t>
      </w:r>
      <w:proofErr w:type="spellStart"/>
      <w:r>
        <w:t>operators</w:t>
      </w:r>
      <w:proofErr w:type="spellEnd"/>
      <w:r>
        <w:t xml:space="preserve">).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Sugrue</w:t>
      </w:r>
      <w:proofErr w:type="spellEnd"/>
      <w:r>
        <w:t xml:space="preserve"> et al,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 </w:t>
      </w:r>
      <w:proofErr w:type="spellStart"/>
      <w:r>
        <w:t>parallelism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moral </w:t>
      </w:r>
      <w:proofErr w:type="spellStart"/>
      <w:r>
        <w:t>injury</w:t>
      </w:r>
      <w:proofErr w:type="spellEnd"/>
      <w:r>
        <w:t xml:space="preserve"> and SVP.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a semi-</w:t>
      </w:r>
      <w:proofErr w:type="spellStart"/>
      <w:r>
        <w:t>structured</w:t>
      </w:r>
      <w:proofErr w:type="spellEnd"/>
      <w:r>
        <w:t xml:space="preserve"> interview and </w:t>
      </w:r>
      <w:proofErr w:type="spellStart"/>
      <w:r>
        <w:t>explored</w:t>
      </w:r>
      <w:proofErr w:type="spellEnd"/>
      <w:r>
        <w:t xml:space="preserve"> the situations </w:t>
      </w:r>
      <w:proofErr w:type="spellStart"/>
      <w:r>
        <w:t>causing</w:t>
      </w:r>
      <w:proofErr w:type="spellEnd"/>
      <w:r>
        <w:t xml:space="preserve"> a moral </w:t>
      </w:r>
      <w:proofErr w:type="spellStart"/>
      <w:r>
        <w:t>injury</w:t>
      </w:r>
      <w:proofErr w:type="spellEnd"/>
      <w:r>
        <w:t xml:space="preserve">, the </w:t>
      </w:r>
      <w:proofErr w:type="spellStart"/>
      <w:r>
        <w:t>emotional</w:t>
      </w:r>
      <w:proofErr w:type="spellEnd"/>
      <w:r>
        <w:t xml:space="preserve"> reactions, and personal </w:t>
      </w:r>
      <w:proofErr w:type="spellStart"/>
      <w:r>
        <w:t>changes</w:t>
      </w:r>
      <w:proofErr w:type="spellEnd"/>
      <w:r>
        <w:t>.</w:t>
      </w:r>
    </w:p>
    <w:p w14:paraId="4598A16A" w14:textId="77777777" w:rsidR="00FE2249" w:rsidRDefault="00000000">
      <w:pPr>
        <w:ind w:firstLine="720"/>
      </w:pPr>
      <w:r>
        <w:t xml:space="preserve">The book “Stress, Trauma, and </w:t>
      </w:r>
      <w:proofErr w:type="spellStart"/>
      <w:r>
        <w:t>Decision</w:t>
      </w:r>
      <w:proofErr w:type="spellEnd"/>
      <w:r>
        <w:t xml:space="preserve">-Making for Social Workers” by </w:t>
      </w:r>
      <w:proofErr w:type="spellStart"/>
      <w:r>
        <w:t>Regher</w:t>
      </w:r>
      <w:proofErr w:type="spellEnd"/>
      <w:r>
        <w:t xml:space="preserve"> [</w:t>
      </w:r>
      <w:proofErr w:type="spellStart"/>
      <w:r>
        <w:rPr>
          <w:shd w:val="clear" w:color="auto" w:fill="CCCCCC"/>
        </w:rPr>
        <w:t>Regher</w:t>
      </w:r>
      <w:proofErr w:type="spellEnd"/>
      <w:r>
        <w:rPr>
          <w:shd w:val="clear" w:color="auto" w:fill="CCCCCC"/>
        </w:rPr>
        <w:t xml:space="preserve"> 2018</w:t>
      </w:r>
      <w:proofErr w:type="gramStart"/>
      <w:r>
        <w:t xml:space="preserve">]  </w:t>
      </w:r>
      <w:proofErr w:type="spellStart"/>
      <w:r>
        <w:t>explicitly</w:t>
      </w:r>
      <w:proofErr w:type="spellEnd"/>
      <w:proofErr w:type="gramEnd"/>
      <w:r>
        <w:t xml:space="preserve"> </w:t>
      </w:r>
      <w:proofErr w:type="spellStart"/>
      <w:r>
        <w:t>introduced</w:t>
      </w:r>
      <w:proofErr w:type="spellEnd"/>
      <w:r>
        <w:t xml:space="preserve"> the concept of SV. In </w:t>
      </w:r>
      <w:proofErr w:type="spellStart"/>
      <w:r>
        <w:t>detail</w:t>
      </w:r>
      <w:proofErr w:type="spellEnd"/>
      <w:r>
        <w:t xml:space="preserve">, in the </w:t>
      </w:r>
      <w:proofErr w:type="spellStart"/>
      <w:r>
        <w:t>chapter</w:t>
      </w:r>
      <w:proofErr w:type="spellEnd"/>
      <w:r>
        <w:t xml:space="preserve"> “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to trauma </w:t>
      </w:r>
      <w:proofErr w:type="spellStart"/>
      <w:r>
        <w:t>response</w:t>
      </w:r>
      <w:proofErr w:type="spellEnd"/>
      <w:r>
        <w:t xml:space="preserve">”,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stressors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an </w:t>
      </w:r>
      <w:proofErr w:type="spellStart"/>
      <w:r>
        <w:t>incident</w:t>
      </w:r>
      <w:proofErr w:type="spellEnd"/>
      <w:r>
        <w:t xml:space="preserve"> can </w:t>
      </w:r>
      <w:proofErr w:type="spellStart"/>
      <w:r>
        <w:t>exacerbate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traumatic</w:t>
      </w:r>
      <w:proofErr w:type="spellEnd"/>
      <w:r>
        <w:t xml:space="preserve"> reactions in </w:t>
      </w:r>
      <w:proofErr w:type="spellStart"/>
      <w:r>
        <w:t>firefighters</w:t>
      </w:r>
      <w:proofErr w:type="spellEnd"/>
      <w:r>
        <w:t xml:space="preserve"> and </w:t>
      </w:r>
      <w:proofErr w:type="spellStart"/>
      <w:r>
        <w:t>paramedics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. Next,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SVP </w:t>
      </w:r>
      <w:proofErr w:type="spellStart"/>
      <w:r>
        <w:t>similar</w:t>
      </w:r>
      <w:proofErr w:type="spellEnd"/>
      <w:r>
        <w:t xml:space="preserve"> to the </w:t>
      </w:r>
      <w:proofErr w:type="spellStart"/>
      <w:r>
        <w:t>experiences</w:t>
      </w:r>
      <w:proofErr w:type="spellEnd"/>
      <w:r>
        <w:t xml:space="preserve"> by social workers,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SV </w:t>
      </w:r>
      <w:proofErr w:type="spellStart"/>
      <w:r>
        <w:t>terminology</w:t>
      </w:r>
      <w:proofErr w:type="spellEnd"/>
      <w:r>
        <w:t xml:space="preserve"> for the social </w:t>
      </w:r>
      <w:proofErr w:type="spellStart"/>
      <w:r>
        <w:t>context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mitigation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peer support teams </w:t>
      </w:r>
      <w:proofErr w:type="spellStart"/>
      <w:r>
        <w:t>as</w:t>
      </w:r>
      <w:proofErr w:type="spellEnd"/>
      <w:r>
        <w:t xml:space="preserve"> a strategy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similarly</w:t>
      </w:r>
      <w:proofErr w:type="spellEnd"/>
      <w:r>
        <w:t xml:space="preserve"> to the SVP, can support </w:t>
      </w:r>
      <w:proofErr w:type="spellStart"/>
      <w:r>
        <w:t>morally</w:t>
      </w:r>
      <w:proofErr w:type="spellEnd"/>
      <w:r>
        <w:t xml:space="preserve"> </w:t>
      </w:r>
      <w:proofErr w:type="spellStart"/>
      <w:r>
        <w:t>injured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>.</w:t>
      </w:r>
    </w:p>
    <w:p w14:paraId="0B753874" w14:textId="77777777" w:rsidR="00FE2249" w:rsidRDefault="00FE2249"/>
    <w:p w14:paraId="2B035E8F" w14:textId="77777777" w:rsidR="00FE2249" w:rsidRDefault="00FE2249">
      <w:pPr>
        <w:pStyle w:val="Ttulo2"/>
      </w:pPr>
      <w:bookmarkStart w:id="32" w:name="_yi1peab77b0t" w:colFirst="0" w:colLast="0"/>
      <w:bookmarkEnd w:id="32"/>
    </w:p>
    <w:p w14:paraId="3B4F5211" w14:textId="77777777" w:rsidR="00FE2249" w:rsidRDefault="00000000">
      <w:pPr>
        <w:pStyle w:val="Ttulo1"/>
      </w:pPr>
      <w:bookmarkStart w:id="33" w:name="_5sr9glhpyw98" w:colFirst="0" w:colLast="0"/>
      <w:bookmarkEnd w:id="33"/>
      <w:r>
        <w:br w:type="page"/>
      </w:r>
    </w:p>
    <w:p w14:paraId="6D0C1FE7" w14:textId="77777777" w:rsidR="00FE2249" w:rsidRDefault="00000000">
      <w:pPr>
        <w:pStyle w:val="Ttulo1"/>
      </w:pPr>
      <w:bookmarkStart w:id="34" w:name="_23iv9kl5ehx6" w:colFirst="0" w:colLast="0"/>
      <w:bookmarkEnd w:id="34"/>
      <w:commentRangeStart w:id="35"/>
      <w:commentRangeStart w:id="36"/>
      <w:proofErr w:type="spellStart"/>
      <w:r>
        <w:lastRenderedPageBreak/>
        <w:t>Discussion</w:t>
      </w:r>
      <w:commentRangeEnd w:id="35"/>
      <w:proofErr w:type="spellEnd"/>
      <w:r w:rsidR="00CF458D">
        <w:rPr>
          <w:rStyle w:val="Refdecomentario"/>
          <w:b w:val="0"/>
        </w:rPr>
        <w:commentReference w:id="35"/>
      </w:r>
      <w:commentRangeEnd w:id="36"/>
      <w:r w:rsidR="00CF458D">
        <w:rPr>
          <w:rStyle w:val="Refdecomentario"/>
          <w:b w:val="0"/>
        </w:rPr>
        <w:commentReference w:id="36"/>
      </w:r>
    </w:p>
    <w:p w14:paraId="0530D6EF" w14:textId="77777777" w:rsidR="00FE2249" w:rsidRDefault="00000000">
      <w:pPr>
        <w:pStyle w:val="Ttulo1"/>
      </w:pPr>
      <w:bookmarkStart w:id="37" w:name="_2ciabdbl8wra" w:colFirst="0" w:colLast="0"/>
      <w:bookmarkEnd w:id="37"/>
      <w:r>
        <w:br w:type="page"/>
      </w:r>
    </w:p>
    <w:p w14:paraId="3DB24599" w14:textId="77777777" w:rsidR="00FE2249" w:rsidRDefault="00000000">
      <w:pPr>
        <w:pStyle w:val="Ttulo1"/>
      </w:pPr>
      <w:bookmarkStart w:id="38" w:name="_e380ofuid6sg" w:colFirst="0" w:colLast="0"/>
      <w:bookmarkEnd w:id="38"/>
      <w:proofErr w:type="spellStart"/>
      <w:r>
        <w:lastRenderedPageBreak/>
        <w:t>Conclusion</w:t>
      </w:r>
      <w:proofErr w:type="spellEnd"/>
    </w:p>
    <w:p w14:paraId="7B24CFF3" w14:textId="77777777" w:rsidR="00FE2249" w:rsidRDefault="00000000">
      <w:pPr>
        <w:pStyle w:val="Ttulo1"/>
      </w:pPr>
      <w:bookmarkStart w:id="39" w:name="_l6kcp2n37wrn" w:colFirst="0" w:colLast="0"/>
      <w:bookmarkEnd w:id="39"/>
      <w:r>
        <w:br w:type="page"/>
      </w:r>
    </w:p>
    <w:p w14:paraId="4E4AA785" w14:textId="77777777" w:rsidR="00FE2249" w:rsidRDefault="00000000">
      <w:pPr>
        <w:pStyle w:val="Ttulo1"/>
      </w:pPr>
      <w:bookmarkStart w:id="40" w:name="_59ifwm68n698" w:colFirst="0" w:colLast="0"/>
      <w:bookmarkEnd w:id="40"/>
      <w:proofErr w:type="spellStart"/>
      <w:r>
        <w:lastRenderedPageBreak/>
        <w:t>References</w:t>
      </w:r>
      <w:proofErr w:type="spellEnd"/>
    </w:p>
    <w:p w14:paraId="2109781A" w14:textId="77777777" w:rsidR="00FE2249" w:rsidRDefault="00000000">
      <w:pPr>
        <w:spacing w:after="220" w:line="324" w:lineRule="auto"/>
        <w:jc w:val="left"/>
      </w:pPr>
      <w:r>
        <w:t xml:space="preserve">1. </w:t>
      </w:r>
      <w:proofErr w:type="spellStart"/>
      <w:r>
        <w:t>Apanay</w:t>
      </w:r>
      <w:proofErr w:type="spellEnd"/>
      <w:r>
        <w:t xml:space="preserve"> JA, O’Donnell J. </w:t>
      </w:r>
      <w:proofErr w:type="spellStart"/>
      <w:r>
        <w:t>Examining</w:t>
      </w:r>
      <w:proofErr w:type="spellEnd"/>
      <w:r>
        <w:t xml:space="preserve"> the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Creating</w:t>
      </w:r>
      <w:proofErr w:type="spellEnd"/>
      <w:r>
        <w:t xml:space="preserve"> Second </w:t>
      </w:r>
      <w:proofErr w:type="spellStart"/>
      <w:r>
        <w:t>Victims</w:t>
      </w:r>
      <w:proofErr w:type="spellEnd"/>
      <w:r>
        <w:t xml:space="preserve"> in the Aviation Industry. </w:t>
      </w:r>
    </w:p>
    <w:p w14:paraId="03514EAC" w14:textId="77777777" w:rsidR="00FE2249" w:rsidRDefault="00000000">
      <w:pPr>
        <w:spacing w:after="220" w:line="324" w:lineRule="auto"/>
        <w:jc w:val="left"/>
      </w:pPr>
      <w:r>
        <w:t xml:space="preserve">2. Dekker S. Second </w:t>
      </w:r>
      <w:proofErr w:type="spellStart"/>
      <w:r>
        <w:t>Victim</w:t>
      </w:r>
      <w:proofErr w:type="spellEnd"/>
      <w:r>
        <w:t xml:space="preserve"> [Internet]. 0 ed. CRC Press; 2013 [</w:t>
      </w:r>
      <w:proofErr w:type="spellStart"/>
      <w:r>
        <w:t>cited</w:t>
      </w:r>
      <w:proofErr w:type="spellEnd"/>
      <w:r>
        <w:t xml:space="preserve"> 2024 </w:t>
      </w:r>
      <w:proofErr w:type="spellStart"/>
      <w:r>
        <w:t>Feb</w:t>
      </w:r>
      <w:proofErr w:type="spellEnd"/>
      <w:r>
        <w:t xml:space="preserve"> 22]. </w:t>
      </w:r>
      <w:proofErr w:type="spellStart"/>
      <w:r>
        <w:t>Available</w:t>
      </w:r>
      <w:proofErr w:type="spellEnd"/>
      <w:r>
        <w:t xml:space="preserve"> from: https://www.taylorfrancis.com/books/9781466583429</w:t>
      </w:r>
    </w:p>
    <w:p w14:paraId="6143CC10" w14:textId="77777777" w:rsidR="00FE2249" w:rsidRDefault="00000000">
      <w:pPr>
        <w:spacing w:after="220" w:line="324" w:lineRule="auto"/>
        <w:jc w:val="left"/>
      </w:pPr>
      <w:r>
        <w:t xml:space="preserve">3. Dekker S.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Restorative</w:t>
      </w:r>
      <w:proofErr w:type="spellEnd"/>
      <w:r>
        <w:t xml:space="preserve"> Just Culture. In: </w:t>
      </w:r>
      <w:proofErr w:type="spellStart"/>
      <w:r>
        <w:t>Restorative</w:t>
      </w:r>
      <w:proofErr w:type="spellEnd"/>
      <w:r>
        <w:t xml:space="preserve"> Just Culture in </w:t>
      </w:r>
      <w:proofErr w:type="spellStart"/>
      <w:r>
        <w:t>Practice</w:t>
      </w:r>
      <w:proofErr w:type="spellEnd"/>
      <w:r>
        <w:t xml:space="preserve"> [Internet]. 1st ed. New York: Productivity Press; 2022 [</w:t>
      </w:r>
      <w:proofErr w:type="spellStart"/>
      <w:r>
        <w:t>cited</w:t>
      </w:r>
      <w:proofErr w:type="spellEnd"/>
      <w:r>
        <w:t xml:space="preserve"> 2024 </w:t>
      </w:r>
      <w:proofErr w:type="spellStart"/>
      <w:r>
        <w:t>Feb</w:t>
      </w:r>
      <w:proofErr w:type="spellEnd"/>
      <w:r>
        <w:t xml:space="preserve"> 2]. p. 1–20. </w:t>
      </w:r>
      <w:proofErr w:type="spellStart"/>
      <w:r>
        <w:t>Available</w:t>
      </w:r>
      <w:proofErr w:type="spellEnd"/>
      <w:r>
        <w:t xml:space="preserve"> from: https://www.taylorfrancis.com/books/9781003162582/chapters/10.4324/9781003162582-1</w:t>
      </w:r>
    </w:p>
    <w:p w14:paraId="00F868C5" w14:textId="77777777" w:rsidR="00FE2249" w:rsidRDefault="00000000">
      <w:pPr>
        <w:spacing w:after="220" w:line="324" w:lineRule="auto"/>
        <w:jc w:val="left"/>
      </w:pPr>
      <w:r>
        <w:t xml:space="preserve">4. Department of </w:t>
      </w:r>
      <w:proofErr w:type="spellStart"/>
      <w:r>
        <w:t>Statistics</w:t>
      </w:r>
      <w:proofErr w:type="spellEnd"/>
      <w:r>
        <w:t xml:space="preserve">. </w:t>
      </w:r>
      <w:proofErr w:type="spellStart"/>
      <w:r>
        <w:t>Resolution</w:t>
      </w:r>
      <w:proofErr w:type="spellEnd"/>
      <w:r>
        <w:t xml:space="preserve"> to </w:t>
      </w:r>
      <w:proofErr w:type="spellStart"/>
      <w:r>
        <w:t>amend</w:t>
      </w:r>
      <w:proofErr w:type="spellEnd"/>
      <w:r>
        <w:t xml:space="preserve"> the 19th ICLS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of work, </w:t>
      </w:r>
      <w:proofErr w:type="spellStart"/>
      <w:r>
        <w:t>employment</w:t>
      </w:r>
      <w:proofErr w:type="spellEnd"/>
      <w:r>
        <w:t xml:space="preserve"> and labour </w:t>
      </w:r>
      <w:proofErr w:type="spellStart"/>
      <w:r>
        <w:t>underutilization</w:t>
      </w:r>
      <w:proofErr w:type="spellEnd"/>
      <w:r>
        <w:t xml:space="preserve"> [Internet]. Geneva: International Labour Organization; 2023 [</w:t>
      </w:r>
      <w:proofErr w:type="spellStart"/>
      <w:r>
        <w:t>cited</w:t>
      </w:r>
      <w:proofErr w:type="spellEnd"/>
      <w:r>
        <w:t xml:space="preserve"> 2024 Mar 1]. </w:t>
      </w:r>
      <w:proofErr w:type="spellStart"/>
      <w:r>
        <w:t>Available</w:t>
      </w:r>
      <w:proofErr w:type="spellEnd"/>
      <w:r>
        <w:t xml:space="preserve"> from: https://www.ilo.org/wcmsp5/groups/public/---</w:t>
      </w:r>
      <w:proofErr w:type="spellStart"/>
      <w:r>
        <w:t>dgreports</w:t>
      </w:r>
      <w:proofErr w:type="spellEnd"/>
      <w:r>
        <w:t>/---</w:t>
      </w:r>
      <w:proofErr w:type="spellStart"/>
      <w:r>
        <w:t>stat</w:t>
      </w:r>
      <w:proofErr w:type="spellEnd"/>
      <w:r>
        <w:t>/</w:t>
      </w:r>
      <w:proofErr w:type="spellStart"/>
      <w:r>
        <w:t>documents</w:t>
      </w:r>
      <w:proofErr w:type="spellEnd"/>
      <w:r>
        <w:t>/</w:t>
      </w:r>
      <w:proofErr w:type="spellStart"/>
      <w:r>
        <w:t>normativeinstrument</w:t>
      </w:r>
      <w:proofErr w:type="spellEnd"/>
      <w:r>
        <w:t>/wcms_230304.pdf</w:t>
      </w:r>
    </w:p>
    <w:p w14:paraId="54D807B6" w14:textId="77777777" w:rsidR="00FE2249" w:rsidRDefault="00000000">
      <w:pPr>
        <w:spacing w:after="220" w:line="324" w:lineRule="auto"/>
        <w:jc w:val="left"/>
      </w:pPr>
      <w:r>
        <w:t xml:space="preserve">5. Gibson J, Brennan ML, </w:t>
      </w:r>
      <w:proofErr w:type="spellStart"/>
      <w:r>
        <w:t>Oxtoby</w:t>
      </w:r>
      <w:proofErr w:type="spellEnd"/>
      <w:r>
        <w:t xml:space="preserve"> C, </w:t>
      </w:r>
      <w:proofErr w:type="spellStart"/>
      <w:r>
        <w:t>Mossop</w:t>
      </w:r>
      <w:proofErr w:type="spellEnd"/>
      <w:r>
        <w:t xml:space="preserve"> L, White K. </w:t>
      </w:r>
      <w:proofErr w:type="spellStart"/>
      <w:r>
        <w:t>Ethical</w:t>
      </w:r>
      <w:proofErr w:type="spellEnd"/>
      <w:r>
        <w:t xml:space="preserve"> challenges </w:t>
      </w:r>
      <w:proofErr w:type="spellStart"/>
      <w:r>
        <w:t>experienced</w:t>
      </w:r>
      <w:proofErr w:type="spellEnd"/>
      <w:r>
        <w:t xml:space="preserve"> by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practitioners</w:t>
      </w:r>
      <w:proofErr w:type="spellEnd"/>
      <w:r>
        <w:t xml:space="preserve"> in relation to </w:t>
      </w:r>
      <w:proofErr w:type="spellStart"/>
      <w:r>
        <w:t>adverse</w:t>
      </w:r>
      <w:proofErr w:type="spellEnd"/>
      <w:r>
        <w:t xml:space="preserve"> events: Insights from a qualitative study. </w:t>
      </w:r>
      <w:proofErr w:type="spellStart"/>
      <w:r>
        <w:t>Veterinary</w:t>
      </w:r>
      <w:proofErr w:type="spellEnd"/>
      <w:r>
        <w:t xml:space="preserve"> Record. 2023 </w:t>
      </w:r>
      <w:proofErr w:type="spellStart"/>
      <w:r>
        <w:t>Dec</w:t>
      </w:r>
      <w:proofErr w:type="spellEnd"/>
      <w:r>
        <w:t xml:space="preserve"> 16;193(12</w:t>
      </w:r>
      <w:proofErr w:type="gramStart"/>
      <w:r>
        <w:t>):e</w:t>
      </w:r>
      <w:proofErr w:type="gramEnd"/>
      <w:r>
        <w:t xml:space="preserve">3601. </w:t>
      </w:r>
    </w:p>
    <w:p w14:paraId="7EACA928" w14:textId="77777777" w:rsidR="00FE2249" w:rsidRDefault="00000000">
      <w:pPr>
        <w:spacing w:after="220" w:line="324" w:lineRule="auto"/>
        <w:jc w:val="left"/>
      </w:pPr>
      <w:r>
        <w:t xml:space="preserve">6. </w:t>
      </w:r>
      <w:proofErr w:type="spellStart"/>
      <w:r>
        <w:t>Haight</w:t>
      </w:r>
      <w:proofErr w:type="spellEnd"/>
      <w:r>
        <w:t xml:space="preserve"> W, </w:t>
      </w:r>
      <w:proofErr w:type="spellStart"/>
      <w:r>
        <w:t>Sugrue</w:t>
      </w:r>
      <w:proofErr w:type="spellEnd"/>
      <w:r>
        <w:t xml:space="preserve"> EP, </w:t>
      </w:r>
      <w:proofErr w:type="spellStart"/>
      <w:r>
        <w:t>Calhoun</w:t>
      </w:r>
      <w:proofErr w:type="spellEnd"/>
      <w:r>
        <w:t xml:space="preserve"> M. Moral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Child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: </w:t>
      </w:r>
      <w:proofErr w:type="spellStart"/>
      <w:r>
        <w:t>Implications</w:t>
      </w:r>
      <w:proofErr w:type="spellEnd"/>
      <w:r>
        <w:t xml:space="preserve"> for the </w:t>
      </w:r>
      <w:proofErr w:type="spellStart"/>
      <w:r>
        <w:t>ethical</w:t>
      </w:r>
      <w:proofErr w:type="spellEnd"/>
      <w:r>
        <w:t xml:space="preserve"> treatment and </w:t>
      </w:r>
      <w:proofErr w:type="spellStart"/>
      <w:r>
        <w:t>retention</w:t>
      </w:r>
      <w:proofErr w:type="spellEnd"/>
      <w:r>
        <w:t xml:space="preserve"> of workers. Children and Youth Services Review. 2017 </w:t>
      </w:r>
      <w:proofErr w:type="gramStart"/>
      <w:r>
        <w:t>Nov;82:27</w:t>
      </w:r>
      <w:proofErr w:type="gramEnd"/>
      <w:r>
        <w:t xml:space="preserve">–41. </w:t>
      </w:r>
    </w:p>
    <w:p w14:paraId="40E2593E" w14:textId="77777777" w:rsidR="00FE2249" w:rsidRDefault="00000000">
      <w:pPr>
        <w:spacing w:after="220" w:line="324" w:lineRule="auto"/>
        <w:jc w:val="left"/>
      </w:pPr>
      <w:r>
        <w:t xml:space="preserve">7. Hayes J, </w:t>
      </w:r>
      <w:proofErr w:type="spellStart"/>
      <w:r>
        <w:t>Maslen</w:t>
      </w:r>
      <w:proofErr w:type="spellEnd"/>
      <w:r>
        <w:t xml:space="preserve"> S, Scott-Young C, Wong J. The rise of </w:t>
      </w:r>
      <w:proofErr w:type="spellStart"/>
      <w:r>
        <w:t>defensive</w:t>
      </w:r>
      <w:proofErr w:type="spellEnd"/>
      <w:r>
        <w:t xml:space="preserve"> engineering: </w:t>
      </w:r>
      <w:proofErr w:type="spellStart"/>
      <w:r>
        <w:t>how</w:t>
      </w:r>
      <w:proofErr w:type="spellEnd"/>
      <w:r>
        <w:t xml:space="preserve"> personal liability </w:t>
      </w:r>
      <w:proofErr w:type="spellStart"/>
      <w:r>
        <w:t>considerations</w:t>
      </w:r>
      <w:proofErr w:type="spellEnd"/>
      <w:r>
        <w:t xml:space="preserve"> impact </w:t>
      </w:r>
      <w:proofErr w:type="spellStart"/>
      <w:r>
        <w:t>decision</w:t>
      </w:r>
      <w:proofErr w:type="spellEnd"/>
      <w:r>
        <w:t xml:space="preserve">-making. Journal of Risk </w:t>
      </w:r>
      <w:proofErr w:type="spellStart"/>
      <w:r>
        <w:t>Research</w:t>
      </w:r>
      <w:proofErr w:type="spellEnd"/>
      <w:r>
        <w:t xml:space="preserve">. 2018 Sep 2;21(9):1131–45. </w:t>
      </w:r>
    </w:p>
    <w:p w14:paraId="46868726" w14:textId="77777777" w:rsidR="00FE2249" w:rsidRDefault="00000000">
      <w:pPr>
        <w:spacing w:after="220" w:line="324" w:lineRule="auto"/>
        <w:jc w:val="left"/>
      </w:pPr>
      <w:r>
        <w:t xml:space="preserve">8. </w:t>
      </w:r>
      <w:proofErr w:type="spellStart"/>
      <w:r>
        <w:t>Heraghty</w:t>
      </w:r>
      <w:proofErr w:type="spellEnd"/>
      <w:r>
        <w:t xml:space="preserve"> D, Dekker S, </w:t>
      </w:r>
      <w:proofErr w:type="spellStart"/>
      <w:r>
        <w:t>Rae</w:t>
      </w:r>
      <w:proofErr w:type="spellEnd"/>
      <w:r>
        <w:t xml:space="preserve"> A. </w:t>
      </w:r>
      <w:proofErr w:type="spellStart"/>
      <w:r>
        <w:t>Accident</w:t>
      </w:r>
      <w:proofErr w:type="spellEnd"/>
      <w:r>
        <w:t xml:space="preserve"> Report </w:t>
      </w:r>
      <w:proofErr w:type="spellStart"/>
      <w:r>
        <w:t>Interpretation</w:t>
      </w:r>
      <w:proofErr w:type="spellEnd"/>
      <w:r>
        <w:t xml:space="preserve">. </w:t>
      </w:r>
      <w:proofErr w:type="spellStart"/>
      <w:r>
        <w:t>Safety</w:t>
      </w:r>
      <w:proofErr w:type="spellEnd"/>
      <w:r>
        <w:t xml:space="preserve">. 2018 </w:t>
      </w:r>
      <w:proofErr w:type="spellStart"/>
      <w:r>
        <w:t>Oct</w:t>
      </w:r>
      <w:proofErr w:type="spellEnd"/>
      <w:r>
        <w:t xml:space="preserve"> 15;4(4):46. </w:t>
      </w:r>
    </w:p>
    <w:p w14:paraId="31FB9EAA" w14:textId="77777777" w:rsidR="00FE2249" w:rsidRDefault="00000000">
      <w:pPr>
        <w:spacing w:after="220" w:line="324" w:lineRule="auto"/>
        <w:jc w:val="left"/>
      </w:pPr>
      <w:r>
        <w:t xml:space="preserve">9. </w:t>
      </w:r>
      <w:proofErr w:type="spellStart"/>
      <w:r>
        <w:t>Heraghty</w:t>
      </w:r>
      <w:proofErr w:type="spellEnd"/>
      <w:r>
        <w:t xml:space="preserve"> D, Dekker SWA, </w:t>
      </w:r>
      <w:proofErr w:type="spellStart"/>
      <w:r>
        <w:t>Rae</w:t>
      </w:r>
      <w:proofErr w:type="spellEnd"/>
      <w:r>
        <w:t xml:space="preserve"> A. </w:t>
      </w:r>
      <w:proofErr w:type="spellStart"/>
      <w:r>
        <w:t>Modifying</w:t>
      </w:r>
      <w:proofErr w:type="spellEnd"/>
      <w:r>
        <w:t xml:space="preserve"> an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system – From single </w:t>
      </w:r>
      <w:proofErr w:type="spellStart"/>
      <w:r>
        <w:t>narratives</w:t>
      </w:r>
      <w:proofErr w:type="spellEnd"/>
      <w:r>
        <w:t xml:space="preserve"> and </w:t>
      </w:r>
      <w:proofErr w:type="spellStart"/>
      <w:r>
        <w:t>retribution</w:t>
      </w:r>
      <w:proofErr w:type="spellEnd"/>
      <w:r>
        <w:t xml:space="preserve"> to multiple stories and </w:t>
      </w:r>
      <w:proofErr w:type="spellStart"/>
      <w:r>
        <w:t>restoration</w:t>
      </w:r>
      <w:proofErr w:type="spellEnd"/>
      <w:r>
        <w:t xml:space="preserve">. </w:t>
      </w:r>
      <w:proofErr w:type="spellStart"/>
      <w:r>
        <w:t>Safety</w:t>
      </w:r>
      <w:proofErr w:type="spellEnd"/>
      <w:r>
        <w:t xml:space="preserve"> Science. 2021 </w:t>
      </w:r>
      <w:proofErr w:type="gramStart"/>
      <w:r>
        <w:t>Jul;139:105248</w:t>
      </w:r>
      <w:proofErr w:type="gramEnd"/>
      <w:r>
        <w:t xml:space="preserve">. </w:t>
      </w:r>
    </w:p>
    <w:p w14:paraId="1D029BC7" w14:textId="77777777" w:rsidR="00FE2249" w:rsidRDefault="00000000">
      <w:pPr>
        <w:spacing w:after="220" w:line="324" w:lineRule="auto"/>
        <w:jc w:val="left"/>
      </w:pPr>
      <w:r>
        <w:lastRenderedPageBreak/>
        <w:t xml:space="preserve">10. </w:t>
      </w:r>
      <w:proofErr w:type="spellStart"/>
      <w:r>
        <w:t>Huth</w:t>
      </w:r>
      <w:proofErr w:type="spellEnd"/>
      <w:r>
        <w:t xml:space="preserve"> M, </w:t>
      </w:r>
      <w:proofErr w:type="spellStart"/>
      <w:r>
        <w:t>DePaul</w:t>
      </w:r>
      <w:proofErr w:type="spellEnd"/>
      <w:r>
        <w:t xml:space="preserve"> University. The </w:t>
      </w:r>
      <w:proofErr w:type="spellStart"/>
      <w:r>
        <w:t>Dialectics</w:t>
      </w:r>
      <w:proofErr w:type="spellEnd"/>
      <w:r>
        <w:t xml:space="preserve"> of </w:t>
      </w:r>
      <w:proofErr w:type="spellStart"/>
      <w:r>
        <w:t>Vulnerability</w:t>
      </w:r>
      <w:proofErr w:type="spellEnd"/>
      <w:r>
        <w:t xml:space="preserve">: Can </w:t>
      </w:r>
      <w:proofErr w:type="spellStart"/>
      <w:r>
        <w:t>We</w:t>
      </w:r>
      <w:proofErr w:type="spellEnd"/>
      <w:r>
        <w:t xml:space="preserve"> Produce or </w:t>
      </w:r>
      <w:proofErr w:type="spellStart"/>
      <w:r>
        <w:t>Exacerbate</w:t>
      </w:r>
      <w:proofErr w:type="spellEnd"/>
      <w:r>
        <w:t xml:space="preserve"> </w:t>
      </w:r>
      <w:proofErr w:type="spellStart"/>
      <w:r>
        <w:t>Vulnerability</w:t>
      </w:r>
      <w:proofErr w:type="spellEnd"/>
      <w:r>
        <w:t xml:space="preserve"> by </w:t>
      </w:r>
      <w:proofErr w:type="spellStart"/>
      <w:r>
        <w:t>Emphasizing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Normative </w:t>
      </w:r>
      <w:proofErr w:type="spellStart"/>
      <w:r>
        <w:t>Category</w:t>
      </w:r>
      <w:proofErr w:type="spellEnd"/>
      <w:r>
        <w:t xml:space="preserve">? </w:t>
      </w:r>
      <w:proofErr w:type="spellStart"/>
      <w:r>
        <w:t>Philosophy</w:t>
      </w:r>
      <w:proofErr w:type="spellEnd"/>
      <w:r>
        <w:t xml:space="preserve"> Today. 2020;64(3):557–76. </w:t>
      </w:r>
    </w:p>
    <w:p w14:paraId="081EE7BB" w14:textId="77777777" w:rsidR="00FE2249" w:rsidRDefault="00000000">
      <w:pPr>
        <w:spacing w:after="220" w:line="324" w:lineRule="auto"/>
        <w:jc w:val="left"/>
      </w:pPr>
      <w:r>
        <w:t xml:space="preserve">11. </w:t>
      </w:r>
      <w:proofErr w:type="spellStart"/>
      <w:r>
        <w:t>Kvitsiani</w:t>
      </w:r>
      <w:proofErr w:type="spellEnd"/>
      <w:r>
        <w:t xml:space="preserve"> M, </w:t>
      </w:r>
      <w:proofErr w:type="spellStart"/>
      <w:r>
        <w:t>Mestvirishvili</w:t>
      </w:r>
      <w:proofErr w:type="spellEnd"/>
      <w:r>
        <w:t xml:space="preserve"> M, </w:t>
      </w:r>
      <w:proofErr w:type="spellStart"/>
      <w:r>
        <w:t>Martskvishvili</w:t>
      </w:r>
      <w:proofErr w:type="spellEnd"/>
      <w:r>
        <w:t xml:space="preserve"> K, </w:t>
      </w:r>
      <w:proofErr w:type="spellStart"/>
      <w:r>
        <w:t>Odilavadze</w:t>
      </w:r>
      <w:proofErr w:type="spellEnd"/>
      <w:r>
        <w:t xml:space="preserve"> M. Dynamic model of moral </w:t>
      </w:r>
      <w:proofErr w:type="spellStart"/>
      <w:r>
        <w:t>injury</w:t>
      </w:r>
      <w:proofErr w:type="spellEnd"/>
      <w:r>
        <w:t xml:space="preserve">. </w:t>
      </w:r>
      <w:proofErr w:type="spellStart"/>
      <w:r>
        <w:t>European</w:t>
      </w:r>
      <w:proofErr w:type="spellEnd"/>
      <w:r>
        <w:t xml:space="preserve"> Journal of Trauma &amp; </w:t>
      </w:r>
      <w:proofErr w:type="spellStart"/>
      <w:r>
        <w:t>Dissociation</w:t>
      </w:r>
      <w:proofErr w:type="spellEnd"/>
      <w:r>
        <w:t xml:space="preserve">. 2023 Mar;7(1):100313. </w:t>
      </w:r>
    </w:p>
    <w:p w14:paraId="24AC9A85" w14:textId="77777777" w:rsidR="00FE2249" w:rsidRDefault="00000000">
      <w:pPr>
        <w:spacing w:after="220" w:line="324" w:lineRule="auto"/>
        <w:jc w:val="left"/>
      </w:pPr>
      <w:r>
        <w:t xml:space="preserve">12. </w:t>
      </w:r>
      <w:proofErr w:type="spellStart"/>
      <w:r>
        <w:t>Mosedale</w:t>
      </w:r>
      <w:proofErr w:type="spellEnd"/>
      <w:r>
        <w:t xml:space="preserve"> P. </w:t>
      </w:r>
      <w:proofErr w:type="spellStart"/>
      <w:r>
        <w:t>Improving</w:t>
      </w:r>
      <w:proofErr w:type="spellEnd"/>
      <w:r>
        <w:t xml:space="preserve"> the </w:t>
      </w:r>
      <w:proofErr w:type="spellStart"/>
      <w:r>
        <w:t>quality</w:t>
      </w:r>
      <w:proofErr w:type="spellEnd"/>
      <w:r>
        <w:t xml:space="preserve"> of care in equine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Equine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2020 Mar;32(3):116–7. </w:t>
      </w:r>
    </w:p>
    <w:p w14:paraId="0CB0B2E4" w14:textId="77777777" w:rsidR="00FE2249" w:rsidRDefault="00000000">
      <w:pPr>
        <w:spacing w:after="220" w:line="324" w:lineRule="auto"/>
        <w:jc w:val="left"/>
      </w:pPr>
      <w:r>
        <w:t xml:space="preserve">13. </w:t>
      </w:r>
      <w:proofErr w:type="spellStart"/>
      <w:r>
        <w:t>Naweed</w:t>
      </w:r>
      <w:proofErr w:type="spellEnd"/>
      <w:r>
        <w:t xml:space="preserve"> A, Dennis D, </w:t>
      </w:r>
      <w:proofErr w:type="spellStart"/>
      <w:r>
        <w:t>Krynski</w:t>
      </w:r>
      <w:proofErr w:type="spellEnd"/>
      <w:r>
        <w:t xml:space="preserve"> B, Crea T, </w:t>
      </w:r>
      <w:proofErr w:type="spellStart"/>
      <w:r>
        <w:t>Knott</w:t>
      </w:r>
      <w:proofErr w:type="spellEnd"/>
      <w:r>
        <w:t xml:space="preserve"> C. </w:t>
      </w:r>
      <w:proofErr w:type="spellStart"/>
      <w:r>
        <w:t>Delivering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 xml:space="preserve"> Activities </w:t>
      </w:r>
      <w:proofErr w:type="spellStart"/>
      <w:r>
        <w:t>Safely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Hurt </w:t>
      </w:r>
      <w:proofErr w:type="spellStart"/>
      <w:r>
        <w:t>Ourselves</w:t>
      </w:r>
      <w:proofErr w:type="spellEnd"/>
      <w:r>
        <w:t xml:space="preserve">? Sim Healthcare. 2021 Feb;16(1):60–6. </w:t>
      </w:r>
    </w:p>
    <w:p w14:paraId="71CB8EBF" w14:textId="77777777" w:rsidR="00FE2249" w:rsidRDefault="00000000">
      <w:pPr>
        <w:spacing w:after="220" w:line="324" w:lineRule="auto"/>
        <w:jc w:val="left"/>
      </w:pPr>
      <w:r>
        <w:t xml:space="preserve">14. Perret JL, Best CO, </w:t>
      </w:r>
      <w:proofErr w:type="spellStart"/>
      <w:r>
        <w:t>Coe</w:t>
      </w:r>
      <w:proofErr w:type="spellEnd"/>
      <w:r>
        <w:t xml:space="preserve"> JB, Greer AL, </w:t>
      </w:r>
      <w:proofErr w:type="spellStart"/>
      <w:r>
        <w:t>Khosa</w:t>
      </w:r>
      <w:proofErr w:type="spellEnd"/>
      <w:r>
        <w:t xml:space="preserve"> DK, Jones-</w:t>
      </w:r>
      <w:proofErr w:type="spellStart"/>
      <w:r>
        <w:t>Bitton</w:t>
      </w:r>
      <w:proofErr w:type="spellEnd"/>
      <w:r>
        <w:t xml:space="preserve"> A. </w:t>
      </w:r>
      <w:proofErr w:type="spellStart"/>
      <w:r>
        <w:t>Prevalence</w:t>
      </w:r>
      <w:proofErr w:type="spellEnd"/>
      <w:r>
        <w:t xml:space="preserve"> of </w:t>
      </w:r>
      <w:proofErr w:type="spellStart"/>
      <w:r>
        <w:t>mental</w:t>
      </w:r>
      <w:proofErr w:type="spellEnd"/>
      <w:r>
        <w:t xml:space="preserve"> health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Canadian </w:t>
      </w:r>
      <w:proofErr w:type="spellStart"/>
      <w:r>
        <w:t>veterinarians</w:t>
      </w:r>
      <w:proofErr w:type="spellEnd"/>
      <w:r>
        <w:t xml:space="preserve">. </w:t>
      </w:r>
      <w:proofErr w:type="spellStart"/>
      <w:r>
        <w:t>javma</w:t>
      </w:r>
      <w:proofErr w:type="spellEnd"/>
      <w:r>
        <w:t xml:space="preserve">. 2020 </w:t>
      </w:r>
      <w:proofErr w:type="spellStart"/>
      <w:r>
        <w:t>Feb</w:t>
      </w:r>
      <w:proofErr w:type="spellEnd"/>
      <w:r>
        <w:t xml:space="preserve"> 1;256(3):365–75. </w:t>
      </w:r>
    </w:p>
    <w:p w14:paraId="29301EE3" w14:textId="77777777" w:rsidR="00FE2249" w:rsidRDefault="00000000">
      <w:pPr>
        <w:spacing w:after="220" w:line="324" w:lineRule="auto"/>
        <w:jc w:val="left"/>
      </w:pPr>
      <w:r>
        <w:t xml:space="preserve">15. Pollock D, Peters MDJ, Khalil H, </w:t>
      </w:r>
      <w:proofErr w:type="spellStart"/>
      <w:r>
        <w:t>McInerney</w:t>
      </w:r>
      <w:proofErr w:type="spellEnd"/>
      <w:r>
        <w:t xml:space="preserve"> P, Alexander L, </w:t>
      </w:r>
      <w:proofErr w:type="spellStart"/>
      <w:r>
        <w:t>Tricco</w:t>
      </w:r>
      <w:proofErr w:type="spellEnd"/>
      <w:r>
        <w:t xml:space="preserve"> AC, et al. </w:t>
      </w:r>
      <w:proofErr w:type="spellStart"/>
      <w:r>
        <w:t>Recommendations</w:t>
      </w:r>
      <w:proofErr w:type="spellEnd"/>
      <w:r>
        <w:t xml:space="preserve"> for the </w:t>
      </w:r>
      <w:proofErr w:type="spellStart"/>
      <w:r>
        <w:t>extraction</w:t>
      </w:r>
      <w:proofErr w:type="spellEnd"/>
      <w:r>
        <w:t xml:space="preserve">, </w:t>
      </w:r>
      <w:proofErr w:type="spellStart"/>
      <w:r>
        <w:t>analysis</w:t>
      </w:r>
      <w:proofErr w:type="spellEnd"/>
      <w:r>
        <w:t xml:space="preserve">, and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scoping</w:t>
      </w:r>
      <w:proofErr w:type="spellEnd"/>
      <w:r>
        <w:t xml:space="preserve"> reviews. JBI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Synthesis</w:t>
      </w:r>
      <w:proofErr w:type="spellEnd"/>
      <w:r>
        <w:t xml:space="preserve">. 2023 Mar;21(3):520–32. </w:t>
      </w:r>
    </w:p>
    <w:p w14:paraId="361DBAB7" w14:textId="77777777" w:rsidR="00FE2249" w:rsidRDefault="00000000">
      <w:pPr>
        <w:spacing w:after="220" w:line="324" w:lineRule="auto"/>
        <w:jc w:val="left"/>
      </w:pPr>
      <w:r>
        <w:t xml:space="preserve">16. </w:t>
      </w:r>
      <w:proofErr w:type="spellStart"/>
      <w:r>
        <w:t>Regehr</w:t>
      </w:r>
      <w:proofErr w:type="spellEnd"/>
      <w:r>
        <w:t xml:space="preserve"> C. Stress, Trauma, and </w:t>
      </w:r>
      <w:proofErr w:type="spellStart"/>
      <w:r>
        <w:t>Decision</w:t>
      </w:r>
      <w:proofErr w:type="spellEnd"/>
      <w:r>
        <w:t>-Making for Social Workers [Internet]. Columbia University Press; 2018 [</w:t>
      </w:r>
      <w:proofErr w:type="spellStart"/>
      <w:r>
        <w:t>cited</w:t>
      </w:r>
      <w:proofErr w:type="spellEnd"/>
      <w:r>
        <w:t xml:space="preserve"> 2024 </w:t>
      </w:r>
      <w:proofErr w:type="spellStart"/>
      <w:r>
        <w:t>Feb</w:t>
      </w:r>
      <w:proofErr w:type="spellEnd"/>
      <w:r>
        <w:t xml:space="preserve"> 2]. </w:t>
      </w:r>
      <w:proofErr w:type="spellStart"/>
      <w:r>
        <w:t>Available</w:t>
      </w:r>
      <w:proofErr w:type="spellEnd"/>
      <w:r>
        <w:t xml:space="preserve"> from: https://www.degruyter.com/document/doi/10.7312/rege18012/html</w:t>
      </w:r>
    </w:p>
    <w:p w14:paraId="2D90C690" w14:textId="77777777" w:rsidR="00FE2249" w:rsidRDefault="00000000">
      <w:pPr>
        <w:spacing w:after="220" w:line="324" w:lineRule="auto"/>
        <w:jc w:val="left"/>
      </w:pPr>
      <w:r>
        <w:t xml:space="preserve">17. </w:t>
      </w:r>
      <w:proofErr w:type="spellStart"/>
      <w:r>
        <w:t>Seys</w:t>
      </w:r>
      <w:proofErr w:type="spellEnd"/>
      <w:r>
        <w:t xml:space="preserve"> D, Panella M, Russotto S, </w:t>
      </w:r>
      <w:proofErr w:type="spellStart"/>
      <w:r>
        <w:t>Strametz</w:t>
      </w:r>
      <w:proofErr w:type="spellEnd"/>
      <w:r>
        <w:t xml:space="preserve"> R, Joaquín Mira J, Van Wilder A, et al. In </w:t>
      </w:r>
      <w:proofErr w:type="spellStart"/>
      <w:r>
        <w:t>search</w:t>
      </w:r>
      <w:proofErr w:type="spellEnd"/>
      <w:r>
        <w:t xml:space="preserve"> of an international </w:t>
      </w:r>
      <w:proofErr w:type="spellStart"/>
      <w:r>
        <w:t>multidimensional</w:t>
      </w:r>
      <w:proofErr w:type="spellEnd"/>
      <w:r>
        <w:t xml:space="preserve"> action plan for second </w:t>
      </w:r>
      <w:proofErr w:type="spellStart"/>
      <w:r>
        <w:t>victim</w:t>
      </w:r>
      <w:proofErr w:type="spellEnd"/>
      <w:r>
        <w:t xml:space="preserve"> support: a narrative review. BMC Health </w:t>
      </w:r>
      <w:proofErr w:type="spellStart"/>
      <w:r>
        <w:t>Serv</w:t>
      </w:r>
      <w:proofErr w:type="spellEnd"/>
      <w:r>
        <w:t xml:space="preserve"> Res. 2023 Jul 31;23(1):816. </w:t>
      </w:r>
    </w:p>
    <w:p w14:paraId="261E521D" w14:textId="77777777" w:rsidR="00FE2249" w:rsidRDefault="00000000">
      <w:pPr>
        <w:spacing w:after="220" w:line="324" w:lineRule="auto"/>
        <w:jc w:val="left"/>
      </w:pPr>
      <w:r>
        <w:t xml:space="preserve">18. Smith PJ, Hoffman RR, editors. Cognitive Systems Engineering: The Future for a </w:t>
      </w:r>
      <w:proofErr w:type="spellStart"/>
      <w:r>
        <w:t>Changing</w:t>
      </w:r>
      <w:proofErr w:type="spellEnd"/>
      <w:r>
        <w:t xml:space="preserve"> World [Internet]. 1st ed. Boca </w:t>
      </w:r>
      <w:proofErr w:type="gramStart"/>
      <w:r>
        <w:t>Raton :</w:t>
      </w:r>
      <w:proofErr w:type="gramEnd"/>
      <w:r>
        <w:t xml:space="preserve"> Taylor &amp; Francis, CRC Press, 2017. | Series: CRC Press; 2017 [</w:t>
      </w:r>
      <w:proofErr w:type="spellStart"/>
      <w:r>
        <w:t>cited</w:t>
      </w:r>
      <w:proofErr w:type="spellEnd"/>
      <w:r>
        <w:t xml:space="preserve"> 2024 </w:t>
      </w:r>
      <w:proofErr w:type="spellStart"/>
      <w:r>
        <w:t>Feb</w:t>
      </w:r>
      <w:proofErr w:type="spellEnd"/>
      <w:r>
        <w:t xml:space="preserve"> 1]. </w:t>
      </w:r>
      <w:proofErr w:type="spellStart"/>
      <w:r>
        <w:t>Available</w:t>
      </w:r>
      <w:proofErr w:type="spellEnd"/>
      <w:r>
        <w:t xml:space="preserve"> from: https://www.taylorfrancis.com/books/9781317164777</w:t>
      </w:r>
    </w:p>
    <w:p w14:paraId="7440E72B" w14:textId="77777777" w:rsidR="00FE2249" w:rsidRDefault="00000000">
      <w:pPr>
        <w:spacing w:after="220" w:line="324" w:lineRule="auto"/>
        <w:jc w:val="left"/>
      </w:pPr>
      <w:r>
        <w:t xml:space="preserve">19. </w:t>
      </w:r>
      <w:proofErr w:type="spellStart"/>
      <w:r>
        <w:t>Timmenga</w:t>
      </w:r>
      <w:proofErr w:type="spellEnd"/>
      <w:r>
        <w:t xml:space="preserve"> FSL, Jansen W, Turner PV, De </w:t>
      </w:r>
      <w:proofErr w:type="spellStart"/>
      <w:r>
        <w:t>Briyne</w:t>
      </w:r>
      <w:proofErr w:type="spellEnd"/>
      <w:r>
        <w:t xml:space="preserve"> N.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and </w:t>
      </w:r>
      <w:proofErr w:type="spellStart"/>
      <w:r>
        <w:t>diversity</w:t>
      </w:r>
      <w:proofErr w:type="spellEnd"/>
      <w:r>
        <w:t xml:space="preserve">, equity, and </w:t>
      </w:r>
      <w:proofErr w:type="spellStart"/>
      <w:r>
        <w:t>inclusiveness</w:t>
      </w:r>
      <w:proofErr w:type="spellEnd"/>
      <w:r>
        <w:t xml:space="preserve"> in the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: Pathways to a more </w:t>
      </w:r>
      <w:proofErr w:type="spellStart"/>
      <w:r>
        <w:t>resilient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. Front </w:t>
      </w:r>
      <w:proofErr w:type="spellStart"/>
      <w:r>
        <w:t>Vet</w:t>
      </w:r>
      <w:proofErr w:type="spellEnd"/>
      <w:r>
        <w:t xml:space="preserve"> Sci. 2022 Jul </w:t>
      </w:r>
      <w:proofErr w:type="gramStart"/>
      <w:r>
        <w:t>29;9:888189</w:t>
      </w:r>
      <w:proofErr w:type="gramEnd"/>
      <w:r>
        <w:t xml:space="preserve">. </w:t>
      </w:r>
    </w:p>
    <w:p w14:paraId="78F14525" w14:textId="77777777" w:rsidR="00FE2249" w:rsidRDefault="00000000">
      <w:pPr>
        <w:spacing w:after="220" w:line="324" w:lineRule="auto"/>
        <w:jc w:val="left"/>
      </w:pPr>
      <w:r>
        <w:lastRenderedPageBreak/>
        <w:t xml:space="preserve">20. </w:t>
      </w:r>
      <w:proofErr w:type="spellStart"/>
      <w:r>
        <w:t>Tricco</w:t>
      </w:r>
      <w:proofErr w:type="spellEnd"/>
      <w:r>
        <w:t xml:space="preserve"> AC, Lillie E, </w:t>
      </w:r>
      <w:proofErr w:type="spellStart"/>
      <w:r>
        <w:t>Zarin</w:t>
      </w:r>
      <w:proofErr w:type="spellEnd"/>
      <w:r>
        <w:t xml:space="preserve"> W, O’Brien KK, </w:t>
      </w:r>
      <w:proofErr w:type="spellStart"/>
      <w:r>
        <w:t>Colquhoun</w:t>
      </w:r>
      <w:proofErr w:type="spellEnd"/>
      <w:r>
        <w:t xml:space="preserve"> H, </w:t>
      </w:r>
      <w:proofErr w:type="spellStart"/>
      <w:r>
        <w:t>Levac</w:t>
      </w:r>
      <w:proofErr w:type="spellEnd"/>
      <w:r>
        <w:t xml:space="preserve"> D, et al. PRISMA Extension for </w:t>
      </w:r>
      <w:proofErr w:type="spellStart"/>
      <w:r>
        <w:t>Scoping</w:t>
      </w:r>
      <w:proofErr w:type="spellEnd"/>
      <w:r>
        <w:t xml:space="preserve"> Reviews (PRISMA-</w:t>
      </w:r>
      <w:proofErr w:type="spellStart"/>
      <w:r>
        <w:t>ScR</w:t>
      </w:r>
      <w:proofErr w:type="spellEnd"/>
      <w:r>
        <w:t xml:space="preserve">): Checklist and </w:t>
      </w:r>
      <w:proofErr w:type="spellStart"/>
      <w:r>
        <w:t>Explanation</w:t>
      </w:r>
      <w:proofErr w:type="spellEnd"/>
      <w:r>
        <w:t xml:space="preserve">. Ann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. 2018 </w:t>
      </w:r>
      <w:proofErr w:type="spellStart"/>
      <w:r>
        <w:t>Oct</w:t>
      </w:r>
      <w:proofErr w:type="spellEnd"/>
      <w:r>
        <w:t xml:space="preserve"> 2;169(7):467–73. </w:t>
      </w:r>
    </w:p>
    <w:p w14:paraId="5AF68544" w14:textId="77777777" w:rsidR="00FE2249" w:rsidRDefault="00000000">
      <w:pPr>
        <w:spacing w:after="220" w:line="324" w:lineRule="auto"/>
        <w:jc w:val="left"/>
      </w:pPr>
      <w:r>
        <w:t xml:space="preserve">21. </w:t>
      </w:r>
      <w:proofErr w:type="spellStart"/>
      <w:r>
        <w:t>Vanhaecht</w:t>
      </w:r>
      <w:proofErr w:type="spellEnd"/>
      <w:r>
        <w:t xml:space="preserve"> K, </w:t>
      </w:r>
      <w:proofErr w:type="spellStart"/>
      <w:r>
        <w:t>Seys</w:t>
      </w:r>
      <w:proofErr w:type="spellEnd"/>
      <w:r>
        <w:t xml:space="preserve"> D, Russotto S, </w:t>
      </w:r>
      <w:proofErr w:type="spellStart"/>
      <w:r>
        <w:t>Strametz</w:t>
      </w:r>
      <w:proofErr w:type="spellEnd"/>
      <w:r>
        <w:t xml:space="preserve"> R, Mira J, </w:t>
      </w:r>
      <w:proofErr w:type="spellStart"/>
      <w:r>
        <w:t>Sigurgeirsdóttir</w:t>
      </w:r>
      <w:proofErr w:type="spellEnd"/>
      <w:r>
        <w:t xml:space="preserve"> S, et al. An </w:t>
      </w:r>
      <w:proofErr w:type="spellStart"/>
      <w:r>
        <w:t>Evidence</w:t>
      </w:r>
      <w:proofErr w:type="spellEnd"/>
      <w:r>
        <w:t xml:space="preserve"> and Consensus-</w:t>
      </w:r>
      <w:proofErr w:type="spellStart"/>
      <w:r>
        <w:t>Based</w:t>
      </w:r>
      <w:proofErr w:type="spellEnd"/>
      <w:r>
        <w:t xml:space="preserve"> Definition of Second </w:t>
      </w:r>
      <w:proofErr w:type="spellStart"/>
      <w:r>
        <w:t>Victim</w:t>
      </w:r>
      <w:proofErr w:type="spellEnd"/>
      <w:r>
        <w:t xml:space="preserve">: A Strategic </w:t>
      </w:r>
      <w:proofErr w:type="spellStart"/>
      <w:r>
        <w:t>Topic</w:t>
      </w:r>
      <w:proofErr w:type="spellEnd"/>
      <w:r>
        <w:t xml:space="preserve"> in Healthcare Quality,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Person-Centeredness</w:t>
      </w:r>
      <w:proofErr w:type="spellEnd"/>
      <w:r>
        <w:t xml:space="preserve"> and Human Resource Management. IJERPH. 2022 </w:t>
      </w:r>
      <w:proofErr w:type="spellStart"/>
      <w:r>
        <w:t>Dec</w:t>
      </w:r>
      <w:proofErr w:type="spellEnd"/>
      <w:r>
        <w:t xml:space="preserve"> 15;19(24):16869. </w:t>
      </w:r>
    </w:p>
    <w:p w14:paraId="3E63600A" w14:textId="77777777" w:rsidR="00FE2249" w:rsidRDefault="00000000">
      <w:pPr>
        <w:spacing w:after="220" w:line="324" w:lineRule="auto"/>
        <w:jc w:val="left"/>
      </w:pPr>
      <w:r>
        <w:t xml:space="preserve">22. Walsh P.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‘just culture’? Journal of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and Risk Management. 2019 Feb;24(1):5–6. </w:t>
      </w:r>
    </w:p>
    <w:p w14:paraId="05682D6A" w14:textId="77777777" w:rsidR="00FE2249" w:rsidRDefault="00000000">
      <w:pPr>
        <w:spacing w:after="220" w:line="324" w:lineRule="auto"/>
        <w:jc w:val="left"/>
      </w:pPr>
      <w:r>
        <w:t xml:space="preserve">23. White B, </w:t>
      </w:r>
      <w:proofErr w:type="spellStart"/>
      <w:r>
        <w:t>Yeung</w:t>
      </w:r>
      <w:proofErr w:type="spellEnd"/>
      <w:r>
        <w:t xml:space="preserve"> P, </w:t>
      </w:r>
      <w:proofErr w:type="spellStart"/>
      <w:r>
        <w:t>Chilvers</w:t>
      </w:r>
      <w:proofErr w:type="spellEnd"/>
      <w:r>
        <w:t xml:space="preserve"> BL, </w:t>
      </w:r>
      <w:proofErr w:type="spellStart"/>
      <w:r>
        <w:t>O’Donoghue</w:t>
      </w:r>
      <w:proofErr w:type="spellEnd"/>
      <w:r>
        <w:t xml:space="preserve"> K. </w:t>
      </w:r>
      <w:proofErr w:type="spellStart"/>
      <w:r>
        <w:t>Reducing</w:t>
      </w:r>
      <w:proofErr w:type="spellEnd"/>
      <w:r>
        <w:t xml:space="preserve"> the “cost of </w:t>
      </w:r>
      <w:proofErr w:type="spellStart"/>
      <w:r>
        <w:t>caring</w:t>
      </w:r>
      <w:proofErr w:type="spellEnd"/>
      <w:r>
        <w:t xml:space="preserve">” in </w:t>
      </w:r>
      <w:proofErr w:type="spellStart"/>
      <w:r>
        <w:t>animal</w:t>
      </w:r>
      <w:proofErr w:type="spellEnd"/>
      <w:r>
        <w:t xml:space="preserve">-care </w:t>
      </w:r>
      <w:proofErr w:type="spellStart"/>
      <w:r>
        <w:t>professionals</w:t>
      </w:r>
      <w:proofErr w:type="spellEnd"/>
      <w:r>
        <w:t xml:space="preserve">: Social work </w:t>
      </w:r>
      <w:proofErr w:type="spellStart"/>
      <w:r>
        <w:t>contribution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pilot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 xml:space="preserve"> burnout and </w:t>
      </w:r>
      <w:proofErr w:type="spellStart"/>
      <w:r>
        <w:t>compassion</w:t>
      </w:r>
      <w:proofErr w:type="spellEnd"/>
      <w:r>
        <w:t xml:space="preserve"> fatigue. Journal of Human </w:t>
      </w:r>
      <w:proofErr w:type="spellStart"/>
      <w:r>
        <w:t>Behavior</w:t>
      </w:r>
      <w:proofErr w:type="spellEnd"/>
      <w:r>
        <w:t xml:space="preserve"> in the Social Environment. 2021 </w:t>
      </w:r>
      <w:proofErr w:type="spellStart"/>
      <w:r>
        <w:t>Oct</w:t>
      </w:r>
      <w:proofErr w:type="spellEnd"/>
      <w:r>
        <w:t xml:space="preserve"> 3;31(7):828–47. </w:t>
      </w:r>
    </w:p>
    <w:p w14:paraId="08A2DD74" w14:textId="77777777" w:rsidR="00FE2249" w:rsidRDefault="00FE2249">
      <w:pPr>
        <w:spacing w:after="220" w:line="324" w:lineRule="auto"/>
        <w:jc w:val="left"/>
      </w:pPr>
    </w:p>
    <w:p w14:paraId="6B16697B" w14:textId="77777777" w:rsidR="00FE2249" w:rsidRDefault="00FE2249">
      <w:pPr>
        <w:spacing w:after="220" w:line="324" w:lineRule="auto"/>
        <w:jc w:val="left"/>
      </w:pPr>
    </w:p>
    <w:p w14:paraId="55D97251" w14:textId="77777777" w:rsidR="00FE2249" w:rsidRDefault="00000000">
      <w:r>
        <w:br w:type="page"/>
      </w:r>
    </w:p>
    <w:p w14:paraId="12037727" w14:textId="77777777" w:rsidR="00FE2249" w:rsidRDefault="00000000">
      <w:pPr>
        <w:pStyle w:val="Ttulo1"/>
      </w:pPr>
      <w:bookmarkStart w:id="41" w:name="_cn5aqmlkp4nl" w:colFirst="0" w:colLast="0"/>
      <w:bookmarkEnd w:id="41"/>
      <w:proofErr w:type="spellStart"/>
      <w:r>
        <w:lastRenderedPageBreak/>
        <w:t>Tables</w:t>
      </w:r>
      <w:proofErr w:type="spellEnd"/>
    </w:p>
    <w:p w14:paraId="29FED1F6" w14:textId="77777777" w:rsidR="00FE2249" w:rsidRDefault="00000000">
      <w:proofErr w:type="spellStart"/>
      <w:r>
        <w:rPr>
          <w:b/>
        </w:rPr>
        <w:t>Table</w:t>
      </w:r>
      <w:proofErr w:type="spellEnd"/>
      <w:r>
        <w:rPr>
          <w:b/>
        </w:rPr>
        <w:t xml:space="preserve"> 1.</w:t>
      </w:r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Strings</w:t>
      </w:r>
      <w:proofErr w:type="spellEnd"/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2"/>
        <w:gridCol w:w="4953"/>
        <w:gridCol w:w="1455"/>
        <w:gridCol w:w="1080"/>
      </w:tblGrid>
      <w:tr w:rsidR="00FE2249" w14:paraId="75927EA1" w14:textId="77777777">
        <w:tc>
          <w:tcPr>
            <w:tcW w:w="145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8616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Database</w:t>
            </w:r>
          </w:p>
        </w:tc>
        <w:tc>
          <w:tcPr>
            <w:tcW w:w="495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CAEA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4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5371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E71F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Results</w:t>
            </w:r>
            <w:proofErr w:type="spellEnd"/>
          </w:p>
        </w:tc>
      </w:tr>
      <w:tr w:rsidR="00FE2249" w14:paraId="7AE00B02" w14:textId="77777777"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D5C3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</w:t>
            </w:r>
            <w:proofErr w:type="spellStart"/>
            <w:r>
              <w:rPr>
                <w:sz w:val="20"/>
                <w:szCs w:val="20"/>
              </w:rPr>
              <w:t>Scholar</w:t>
            </w:r>
            <w:proofErr w:type="spellEnd"/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4346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allintitle</w:t>
            </w:r>
            <w:proofErr w:type="spellEnd"/>
            <w:r>
              <w:rPr>
                <w:sz w:val="20"/>
                <w:szCs w:val="20"/>
              </w:rPr>
              <w:t xml:space="preserve">:"second </w:t>
            </w:r>
            <w:proofErr w:type="spellStart"/>
            <w:r>
              <w:rPr>
                <w:sz w:val="20"/>
                <w:szCs w:val="20"/>
              </w:rPr>
              <w:t>victim</w:t>
            </w:r>
            <w:proofErr w:type="spellEnd"/>
            <w:r>
              <w:rPr>
                <w:sz w:val="20"/>
                <w:szCs w:val="20"/>
              </w:rPr>
              <w:t xml:space="preserve">" OR "second </w:t>
            </w:r>
            <w:proofErr w:type="spellStart"/>
            <w:r>
              <w:rPr>
                <w:sz w:val="20"/>
                <w:szCs w:val="20"/>
              </w:rPr>
              <w:t>victims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BF6E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11/01/2024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A11F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</w:tr>
      <w:tr w:rsidR="00FE2249" w14:paraId="5C5CEC1F" w14:textId="77777777"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4963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</w:t>
            </w:r>
            <w:proofErr w:type="spellStart"/>
            <w:r>
              <w:rPr>
                <w:sz w:val="20"/>
                <w:szCs w:val="20"/>
              </w:rPr>
              <w:t>Scholar</w:t>
            </w:r>
            <w:proofErr w:type="spellEnd"/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FF9A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“second </w:t>
            </w:r>
            <w:proofErr w:type="spellStart"/>
            <w:r>
              <w:rPr>
                <w:sz w:val="20"/>
                <w:szCs w:val="20"/>
              </w:rPr>
              <w:t>victims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B055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11/01/2024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77E2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7366</w:t>
            </w:r>
          </w:p>
        </w:tc>
      </w:tr>
      <w:tr w:rsidR="00FE2249" w14:paraId="364611A2" w14:textId="77777777"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44FD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ProQuest</w:t>
            </w:r>
            <w:proofErr w:type="spellEnd"/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950C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title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"second </w:t>
            </w:r>
            <w:proofErr w:type="spellStart"/>
            <w:r>
              <w:rPr>
                <w:sz w:val="20"/>
                <w:szCs w:val="20"/>
              </w:rPr>
              <w:t>victim</w:t>
            </w:r>
            <w:proofErr w:type="spellEnd"/>
            <w:r>
              <w:rPr>
                <w:sz w:val="20"/>
                <w:szCs w:val="20"/>
              </w:rPr>
              <w:t xml:space="preserve">" OR "second </w:t>
            </w:r>
            <w:proofErr w:type="spellStart"/>
            <w:r>
              <w:rPr>
                <w:sz w:val="20"/>
                <w:szCs w:val="20"/>
              </w:rPr>
              <w:t>victims</w:t>
            </w:r>
            <w:proofErr w:type="spellEnd"/>
            <w:r>
              <w:rPr>
                <w:sz w:val="20"/>
                <w:szCs w:val="20"/>
              </w:rPr>
              <w:t xml:space="preserve">") OR abstract("second </w:t>
            </w:r>
            <w:proofErr w:type="spellStart"/>
            <w:r>
              <w:rPr>
                <w:sz w:val="20"/>
                <w:szCs w:val="20"/>
              </w:rPr>
              <w:t>victim</w:t>
            </w:r>
            <w:proofErr w:type="spellEnd"/>
            <w:r>
              <w:rPr>
                <w:sz w:val="20"/>
                <w:szCs w:val="20"/>
              </w:rPr>
              <w:t xml:space="preserve">" OR "second </w:t>
            </w:r>
            <w:proofErr w:type="spellStart"/>
            <w:r>
              <w:rPr>
                <w:sz w:val="20"/>
                <w:szCs w:val="20"/>
              </w:rPr>
              <w:t>victims</w:t>
            </w:r>
            <w:proofErr w:type="spellEnd"/>
            <w:r>
              <w:rPr>
                <w:sz w:val="20"/>
                <w:szCs w:val="20"/>
              </w:rPr>
              <w:t>")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BFDC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11/01/2024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0DE1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FE2249" w14:paraId="08D3DE19" w14:textId="77777777"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43BA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0DA2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"second </w:t>
            </w:r>
            <w:proofErr w:type="spellStart"/>
            <w:r>
              <w:rPr>
                <w:sz w:val="20"/>
                <w:szCs w:val="20"/>
              </w:rPr>
              <w:t>victims</w:t>
            </w:r>
            <w:proofErr w:type="spellEnd"/>
            <w:r>
              <w:rPr>
                <w:sz w:val="20"/>
                <w:szCs w:val="20"/>
              </w:rPr>
              <w:t xml:space="preserve">" OR "second </w:t>
            </w:r>
            <w:proofErr w:type="spellStart"/>
            <w:r>
              <w:rPr>
                <w:sz w:val="20"/>
                <w:szCs w:val="20"/>
              </w:rPr>
              <w:t>victim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0299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11/01/2024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A66F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</w:tr>
      <w:tr w:rsidR="00FE2249" w14:paraId="6553525E" w14:textId="77777777"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1C9B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Scopus</w:t>
            </w:r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30A3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"second </w:t>
            </w:r>
            <w:proofErr w:type="spellStart"/>
            <w:r>
              <w:rPr>
                <w:sz w:val="20"/>
                <w:szCs w:val="20"/>
              </w:rPr>
              <w:t>victims</w:t>
            </w:r>
            <w:proofErr w:type="spellEnd"/>
            <w:r>
              <w:rPr>
                <w:sz w:val="20"/>
                <w:szCs w:val="20"/>
              </w:rPr>
              <w:t xml:space="preserve">" OR "second </w:t>
            </w:r>
            <w:proofErr w:type="spellStart"/>
            <w:r>
              <w:rPr>
                <w:sz w:val="20"/>
                <w:szCs w:val="20"/>
              </w:rPr>
              <w:t>victim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BE3F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11/01/2024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5958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</w:t>
            </w:r>
          </w:p>
        </w:tc>
      </w:tr>
      <w:tr w:rsidR="00FE2249" w14:paraId="728D5C2B" w14:textId="77777777"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D257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Cinahl</w:t>
            </w:r>
            <w:proofErr w:type="spellEnd"/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268D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"second </w:t>
            </w:r>
            <w:proofErr w:type="spellStart"/>
            <w:r>
              <w:rPr>
                <w:sz w:val="20"/>
                <w:szCs w:val="20"/>
              </w:rPr>
              <w:t>victims</w:t>
            </w:r>
            <w:proofErr w:type="spellEnd"/>
            <w:r>
              <w:rPr>
                <w:sz w:val="20"/>
                <w:szCs w:val="20"/>
              </w:rPr>
              <w:t xml:space="preserve">" OR "second </w:t>
            </w:r>
            <w:proofErr w:type="spellStart"/>
            <w:r>
              <w:rPr>
                <w:sz w:val="20"/>
                <w:szCs w:val="20"/>
              </w:rPr>
              <w:t>victim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CBFC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11/01/2024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E5771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E2249" w14:paraId="6ABC43EB" w14:textId="77777777"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E0D2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of Science</w:t>
            </w:r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EB43A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“second </w:t>
            </w:r>
            <w:proofErr w:type="spellStart"/>
            <w:r>
              <w:rPr>
                <w:sz w:val="20"/>
                <w:szCs w:val="20"/>
              </w:rPr>
              <w:t>victim</w:t>
            </w:r>
            <w:proofErr w:type="spellEnd"/>
            <w:r>
              <w:rPr>
                <w:sz w:val="20"/>
                <w:szCs w:val="20"/>
              </w:rPr>
              <w:t xml:space="preserve">” OR “second </w:t>
            </w:r>
            <w:proofErr w:type="spellStart"/>
            <w:r>
              <w:rPr>
                <w:sz w:val="20"/>
                <w:szCs w:val="20"/>
              </w:rPr>
              <w:t>victims</w:t>
            </w:r>
            <w:proofErr w:type="spellEnd"/>
            <w:r>
              <w:rPr>
                <w:sz w:val="20"/>
                <w:szCs w:val="20"/>
              </w:rPr>
              <w:t xml:space="preserve">” (Title) OR “second </w:t>
            </w:r>
            <w:proofErr w:type="spellStart"/>
            <w:r>
              <w:rPr>
                <w:sz w:val="20"/>
                <w:szCs w:val="20"/>
              </w:rPr>
              <w:t>victim</w:t>
            </w:r>
            <w:proofErr w:type="spellEnd"/>
            <w:r>
              <w:rPr>
                <w:sz w:val="20"/>
                <w:szCs w:val="20"/>
              </w:rPr>
              <w:t xml:space="preserve">” OR “second </w:t>
            </w:r>
            <w:proofErr w:type="spellStart"/>
            <w:r>
              <w:rPr>
                <w:sz w:val="20"/>
                <w:szCs w:val="20"/>
              </w:rPr>
              <w:t>victims</w:t>
            </w:r>
            <w:proofErr w:type="spellEnd"/>
            <w:r>
              <w:rPr>
                <w:sz w:val="20"/>
                <w:szCs w:val="20"/>
              </w:rPr>
              <w:t>” (Abstract)”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4EA0A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11/01/2024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5ABA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</w:tr>
    </w:tbl>
    <w:p w14:paraId="538690F8" w14:textId="77777777" w:rsidR="00FE2249" w:rsidRDefault="00FE2249"/>
    <w:p w14:paraId="6C746AEF" w14:textId="77777777" w:rsidR="00FE2249" w:rsidRDefault="00000000">
      <w:r>
        <w:br w:type="page"/>
      </w:r>
      <w:r>
        <w:lastRenderedPageBreak/>
        <w:t>11478</w:t>
      </w:r>
    </w:p>
    <w:p w14:paraId="493741CB" w14:textId="77777777" w:rsidR="00FE2249" w:rsidRDefault="00000000">
      <w:proofErr w:type="spellStart"/>
      <w:r>
        <w:rPr>
          <w:b/>
        </w:rPr>
        <w:t>Table</w:t>
      </w:r>
      <w:proofErr w:type="spellEnd"/>
      <w:r>
        <w:rPr>
          <w:b/>
        </w:rPr>
        <w:t xml:space="preserve"> 2.</w:t>
      </w:r>
      <w:r>
        <w:t xml:space="preserve"> </w:t>
      </w:r>
      <w:proofErr w:type="spellStart"/>
      <w:r>
        <w:t>Included</w:t>
      </w:r>
      <w:proofErr w:type="spellEnd"/>
      <w:r>
        <w:t xml:space="preserve"> studies</w:t>
      </w:r>
    </w:p>
    <w:tbl>
      <w:tblPr>
        <w:tblStyle w:val="a0"/>
        <w:tblW w:w="8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560"/>
        <w:gridCol w:w="1695"/>
        <w:gridCol w:w="2520"/>
        <w:gridCol w:w="1200"/>
      </w:tblGrid>
      <w:tr w:rsidR="00FE2249" w14:paraId="30147350" w14:textId="77777777">
        <w:trPr>
          <w:jc w:val="center"/>
        </w:trPr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E308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</w:t>
            </w: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A564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design</w:t>
            </w:r>
          </w:p>
        </w:tc>
        <w:tc>
          <w:tcPr>
            <w:tcW w:w="16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ADFE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25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B9BF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Sector</w:t>
            </w:r>
          </w:p>
        </w:tc>
        <w:tc>
          <w:tcPr>
            <w:tcW w:w="12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B15F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Levels</w:t>
            </w:r>
            <w:proofErr w:type="spellEnd"/>
          </w:p>
        </w:tc>
      </w:tr>
      <w:tr w:rsidR="00FE2249" w14:paraId="2C8FBCEF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89D3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Apanay</w:t>
            </w:r>
            <w:proofErr w:type="spellEnd"/>
            <w:r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1B40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Opinion paper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378D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D2C6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Aviation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B265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0, 1, 2, 3, 4</w:t>
            </w:r>
          </w:p>
        </w:tc>
      </w:tr>
      <w:tr w:rsidR="00FE2249" w14:paraId="630D39B5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FA69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 2020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62F7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Editorial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68E2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870F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Pharmacy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525EF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0, 2, 3</w:t>
            </w:r>
          </w:p>
        </w:tc>
      </w:tr>
      <w:tr w:rsidR="00FE2249" w14:paraId="0FB1238D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C693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Boer 2022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A581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373A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A587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16D2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21290F92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809D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Gibson 2003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B6D7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Qualitative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2B9A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Kingdom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7017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Veterinary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BDE3A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0, 2</w:t>
            </w:r>
          </w:p>
        </w:tc>
      </w:tr>
      <w:tr w:rsidR="00FE2249" w14:paraId="02911A45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05DE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Hayes 2018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E779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CDEC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9CB8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0B58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451726B3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80BE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Heraghty</w:t>
            </w:r>
            <w:proofErr w:type="spellEnd"/>
            <w:r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AAED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35E4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45F8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0246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2249" w14:paraId="6789B723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70D4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Heraghty</w:t>
            </w:r>
            <w:proofErr w:type="spellEnd"/>
            <w:r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39A7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study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7DD4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Kingdom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16C3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347E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2249" w14:paraId="625E21FB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B32D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Karinakas</w:t>
            </w:r>
            <w:proofErr w:type="spellEnd"/>
            <w:r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89AF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CB3A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42F1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Aviation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ED57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0, 4</w:t>
            </w:r>
          </w:p>
        </w:tc>
      </w:tr>
      <w:tr w:rsidR="00FE2249" w14:paraId="02F35CC4" w14:textId="77777777">
        <w:trPr>
          <w:jc w:val="center"/>
        </w:trPr>
        <w:tc>
          <w:tcPr>
            <w:tcW w:w="18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924B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Koll-</w:t>
            </w:r>
            <w:proofErr w:type="spellStart"/>
            <w:r>
              <w:rPr>
                <w:sz w:val="20"/>
                <w:szCs w:val="20"/>
              </w:rPr>
              <w:t>Krüsmann</w:t>
            </w:r>
            <w:proofErr w:type="spellEnd"/>
          </w:p>
        </w:tc>
        <w:tc>
          <w:tcPr>
            <w:tcW w:w="15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279A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</w:t>
            </w:r>
          </w:p>
        </w:tc>
        <w:tc>
          <w:tcPr>
            <w:tcW w:w="16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2F6B" w14:textId="77777777" w:rsidR="00FE2249" w:rsidRDefault="00FE2249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C1A3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services</w:t>
            </w:r>
          </w:p>
        </w:tc>
        <w:tc>
          <w:tcPr>
            <w:tcW w:w="1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52AC" w14:textId="77777777" w:rsidR="00FE2249" w:rsidRDefault="00FE2249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E2249" w14:paraId="0BF32CA6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7B3B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Kvitsiani</w:t>
            </w:r>
            <w:proofErr w:type="spellEnd"/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70D5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Qualitative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8986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B3F9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Social-CPS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0636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122D45DC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866B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Mosedale</w:t>
            </w:r>
            <w:proofErr w:type="spellEnd"/>
            <w:r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6D7E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report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6493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Kingdom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2129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Veterinary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FFDB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0, 2</w:t>
            </w:r>
          </w:p>
        </w:tc>
      </w:tr>
      <w:tr w:rsidR="00FE2249" w14:paraId="6745B8B1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BF78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Naweed</w:t>
            </w:r>
            <w:proofErr w:type="spellEnd"/>
            <w:r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416C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report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BC8E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Austria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51DA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Simulation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EFDC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3BA98894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3C1C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Perret 2020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E7E6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Cross-</w:t>
            </w:r>
            <w:proofErr w:type="spellStart"/>
            <w:r>
              <w:rPr>
                <w:sz w:val="20"/>
                <w:szCs w:val="20"/>
              </w:rPr>
              <w:t>sectional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216C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EEEC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Veterinary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A089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0, 2</w:t>
            </w:r>
          </w:p>
        </w:tc>
      </w:tr>
      <w:tr w:rsidR="00FE2249" w14:paraId="15453ED9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6350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Regher</w:t>
            </w:r>
            <w:proofErr w:type="spellEnd"/>
            <w:r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F431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C681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2060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Social-CPS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D0BA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0, 3</w:t>
            </w:r>
          </w:p>
        </w:tc>
      </w:tr>
      <w:tr w:rsidR="00FE2249" w14:paraId="105BADCD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C50E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 2017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62BB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860F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DD64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2D68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2761187B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3BBC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Sugrue</w:t>
            </w:r>
            <w:proofErr w:type="spellEnd"/>
            <w:r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5FDC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Mixed </w:t>
            </w:r>
            <w:proofErr w:type="spellStart"/>
            <w:r>
              <w:rPr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361E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E367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Social-CPS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E3B2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6777E873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E0FA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Timmenga</w:t>
            </w:r>
            <w:proofErr w:type="spellEnd"/>
            <w:r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BCCD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Mixed-</w:t>
            </w:r>
            <w:proofErr w:type="spellStart"/>
            <w:r>
              <w:rPr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C01F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08DB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Veterinary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77C0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FE2249" w14:paraId="7E93ED90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6C99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2021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2E34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Pilot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6E10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283D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Veterinary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907D" w14:textId="77777777" w:rsidR="00FE2249" w:rsidRDefault="0000000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</w:t>
            </w:r>
          </w:p>
        </w:tc>
      </w:tr>
    </w:tbl>
    <w:p w14:paraId="0C0DAB92" w14:textId="77777777" w:rsidR="00FE2249" w:rsidRDefault="00FE2249"/>
    <w:p w14:paraId="037BB611" w14:textId="77777777" w:rsidR="00FE2249" w:rsidRDefault="00000000">
      <w:r>
        <w:br w:type="page"/>
      </w:r>
    </w:p>
    <w:p w14:paraId="3C045C3A" w14:textId="77777777" w:rsidR="00FE2249" w:rsidRDefault="00000000">
      <w:proofErr w:type="spellStart"/>
      <w:r>
        <w:rPr>
          <w:b/>
        </w:rPr>
        <w:lastRenderedPageBreak/>
        <w:t>Table</w:t>
      </w:r>
      <w:proofErr w:type="spellEnd"/>
      <w:r>
        <w:rPr>
          <w:b/>
        </w:rPr>
        <w:t xml:space="preserve"> 3. </w:t>
      </w:r>
      <w:proofErr w:type="spellStart"/>
      <w:r>
        <w:t>Intersection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and </w:t>
      </w:r>
      <w:proofErr w:type="spellStart"/>
      <w:r>
        <w:t>levels</w:t>
      </w:r>
      <w:proofErr w:type="spellEnd"/>
      <w:r>
        <w:t xml:space="preserve"> (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mentioning</w:t>
      </w:r>
      <w:proofErr w:type="spellEnd"/>
      <w:r>
        <w:t xml:space="preserve"> the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level</w:t>
      </w:r>
      <w:proofErr w:type="spellEnd"/>
      <w:r>
        <w:t>/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>).</w:t>
      </w:r>
    </w:p>
    <w:tbl>
      <w:tblPr>
        <w:tblStyle w:val="a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140"/>
        <w:gridCol w:w="1140"/>
        <w:gridCol w:w="1140"/>
        <w:gridCol w:w="1140"/>
        <w:gridCol w:w="1140"/>
        <w:gridCol w:w="1140"/>
      </w:tblGrid>
      <w:tr w:rsidR="00FE2249" w14:paraId="54F8844B" w14:textId="77777777">
        <w:trPr>
          <w:jc w:val="center"/>
        </w:trPr>
        <w:tc>
          <w:tcPr>
            <w:tcW w:w="30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03CD" w14:textId="77777777" w:rsidR="00FE2249" w:rsidRDefault="00FE2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8413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0</w:t>
            </w:r>
          </w:p>
        </w:tc>
        <w:tc>
          <w:tcPr>
            <w:tcW w:w="1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9403" w14:textId="77777777" w:rsidR="00FE2249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1</w:t>
            </w:r>
          </w:p>
        </w:tc>
        <w:tc>
          <w:tcPr>
            <w:tcW w:w="1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F908" w14:textId="77777777" w:rsidR="00FE2249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2</w:t>
            </w:r>
          </w:p>
        </w:tc>
        <w:tc>
          <w:tcPr>
            <w:tcW w:w="1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5563" w14:textId="77777777" w:rsidR="00FE2249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3</w:t>
            </w:r>
          </w:p>
        </w:tc>
        <w:tc>
          <w:tcPr>
            <w:tcW w:w="1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09A9F" w14:textId="77777777" w:rsidR="00FE2249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4</w:t>
            </w:r>
          </w:p>
        </w:tc>
        <w:tc>
          <w:tcPr>
            <w:tcW w:w="1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8F92" w14:textId="77777777" w:rsidR="00FE2249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5</w:t>
            </w:r>
          </w:p>
        </w:tc>
      </w:tr>
      <w:tr w:rsidR="00FE2249" w14:paraId="003F3A7E" w14:textId="77777777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0A2F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Veterinary</w:t>
            </w:r>
            <w:proofErr w:type="spellEnd"/>
          </w:p>
        </w:tc>
        <w:tc>
          <w:tcPr>
            <w:tcW w:w="11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9E38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8875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E098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1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1D3C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3D92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DB69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48F81A0A" w14:textId="77777777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A41B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Aviation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595B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1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CD16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1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868D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1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CCF3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7E89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3C11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70009C8A" w14:textId="77777777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BE82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Social-CPS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6900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14DD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69C1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FA8A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496A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33B6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622656A2" w14:textId="77777777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48A6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Engineering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0583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3A12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A950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6E07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E812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D92C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294FECB7" w14:textId="77777777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6309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Construction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367A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9082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88D2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B69B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3BBD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9CED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27B4897C" w14:textId="77777777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004B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38F3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BE49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C1AD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C471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FE8B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C5A9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4E9D167D" w14:textId="77777777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3083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Pharmacy</w:t>
            </w:r>
            <w:proofErr w:type="spellEnd"/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02F5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4406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7DEA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246B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EF5F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C277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0B78D7AF" w14:textId="77777777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8948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Simulation</w:t>
            </w:r>
            <w:proofErr w:type="spellEnd"/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811F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D66BE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50C0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CBC3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D4FB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4C32" w14:textId="77777777" w:rsidR="00FE2249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249" w14:paraId="2AFA0BFC" w14:textId="77777777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1A94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services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646B" w14:textId="77777777" w:rsidR="00FE2249" w:rsidRDefault="00FE2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3D87" w14:textId="77777777" w:rsidR="00FE2249" w:rsidRDefault="00FE22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4A05" w14:textId="77777777" w:rsidR="00FE2249" w:rsidRDefault="00FE22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83D2" w14:textId="77777777" w:rsidR="00FE2249" w:rsidRDefault="00FE22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FF9C" w14:textId="77777777" w:rsidR="00FE2249" w:rsidRDefault="00FE22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C1DD" w14:textId="77777777" w:rsidR="00FE2249" w:rsidRDefault="00FE22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E2249" w14:paraId="12FF8A38" w14:textId="77777777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8E13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Overall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4C57" w14:textId="77777777" w:rsidR="00FE22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13/18</w:t>
            </w:r>
          </w:p>
        </w:tc>
        <w:tc>
          <w:tcPr>
            <w:tcW w:w="11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6C7C" w14:textId="77777777" w:rsidR="00FE2249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3/18</w:t>
            </w:r>
          </w:p>
        </w:tc>
        <w:tc>
          <w:tcPr>
            <w:tcW w:w="11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CACE" w14:textId="77777777" w:rsidR="00FE2249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7/18</w:t>
            </w:r>
          </w:p>
        </w:tc>
        <w:tc>
          <w:tcPr>
            <w:tcW w:w="11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210B" w14:textId="77777777" w:rsidR="00FE2249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5/18</w:t>
            </w:r>
          </w:p>
        </w:tc>
        <w:tc>
          <w:tcPr>
            <w:tcW w:w="11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8586" w14:textId="77777777" w:rsidR="00FE2249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2/18</w:t>
            </w:r>
          </w:p>
        </w:tc>
        <w:tc>
          <w:tcPr>
            <w:tcW w:w="11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6069" w14:textId="77777777" w:rsidR="00FE2249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0/18</w:t>
            </w:r>
          </w:p>
        </w:tc>
      </w:tr>
    </w:tbl>
    <w:p w14:paraId="7066335F" w14:textId="77777777" w:rsidR="00FE2249" w:rsidRDefault="00FE2249"/>
    <w:p w14:paraId="1BCDCA16" w14:textId="77777777" w:rsidR="00FE2249" w:rsidRDefault="00000000">
      <w:pPr>
        <w:pStyle w:val="Ttulo1"/>
      </w:pPr>
      <w:bookmarkStart w:id="42" w:name="_eaithg9taidy" w:colFirst="0" w:colLast="0"/>
      <w:bookmarkEnd w:id="42"/>
      <w:r>
        <w:br w:type="page"/>
      </w:r>
    </w:p>
    <w:p w14:paraId="40CE6A29" w14:textId="77777777" w:rsidR="00FE2249" w:rsidRDefault="00000000">
      <w:pPr>
        <w:pStyle w:val="Ttulo1"/>
      </w:pPr>
      <w:bookmarkStart w:id="43" w:name="_cipfwuw13gve" w:colFirst="0" w:colLast="0"/>
      <w:bookmarkEnd w:id="43"/>
      <w:proofErr w:type="spellStart"/>
      <w:r>
        <w:lastRenderedPageBreak/>
        <w:t>Figures</w:t>
      </w:r>
      <w:proofErr w:type="spellEnd"/>
    </w:p>
    <w:p w14:paraId="49CB7B43" w14:textId="77777777" w:rsidR="00FE2249" w:rsidRDefault="00000000">
      <w:r>
        <w:rPr>
          <w:b/>
        </w:rPr>
        <w:t>Figure 1.</w:t>
      </w:r>
      <w:r>
        <w:t xml:space="preserve"> PRISMA Flowchart.</w:t>
      </w:r>
    </w:p>
    <w:p w14:paraId="1E44A769" w14:textId="77777777" w:rsidR="00FE2249" w:rsidRDefault="00000000">
      <w:pPr>
        <w:pStyle w:val="Ttulo1"/>
      </w:pPr>
      <w:bookmarkStart w:id="44" w:name="_3sc81ox92lyu" w:colFirst="0" w:colLast="0"/>
      <w:bookmarkEnd w:id="44"/>
      <w:r>
        <w:rPr>
          <w:noProof/>
        </w:rPr>
        <w:drawing>
          <wp:inline distT="114300" distB="114300" distL="114300" distR="114300" wp14:anchorId="520C8F67" wp14:editId="46E65150">
            <wp:extent cx="5731200" cy="50292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2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73A77" w14:textId="77777777" w:rsidR="00FE2249" w:rsidRDefault="00FE2249"/>
    <w:p w14:paraId="3DEAC078" w14:textId="77777777" w:rsidR="00FE2249" w:rsidRDefault="00000000">
      <w:pPr>
        <w:rPr>
          <w:b/>
        </w:rPr>
      </w:pPr>
      <w:r>
        <w:br w:type="page"/>
      </w:r>
    </w:p>
    <w:p w14:paraId="71E6A23E" w14:textId="77777777" w:rsidR="00FE2249" w:rsidRDefault="00000000">
      <w:r>
        <w:rPr>
          <w:b/>
        </w:rPr>
        <w:lastRenderedPageBreak/>
        <w:t xml:space="preserve">Figure 2. </w:t>
      </w:r>
      <w:r>
        <w:t xml:space="preserve">The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of the </w:t>
      </w:r>
      <w:proofErr w:type="spellStart"/>
      <w:r>
        <w:t>five</w:t>
      </w:r>
      <w:proofErr w:type="spellEnd"/>
      <w:r>
        <w:t>-step model (</w:t>
      </w:r>
      <w:proofErr w:type="spellStart"/>
      <w:r>
        <w:t>adapted</w:t>
      </w:r>
      <w:proofErr w:type="spellEnd"/>
      <w:r>
        <w:t xml:space="preserve"> from </w:t>
      </w:r>
      <w:proofErr w:type="spellStart"/>
      <w:r>
        <w:t>Seys</w:t>
      </w:r>
      <w:proofErr w:type="spellEnd"/>
      <w:r>
        <w:t xml:space="preserve"> et al.).</w:t>
      </w:r>
    </w:p>
    <w:p w14:paraId="37EB1EE2" w14:textId="77777777" w:rsidR="00FE2249" w:rsidRDefault="00000000">
      <w:r>
        <w:rPr>
          <w:noProof/>
        </w:rPr>
        <w:drawing>
          <wp:inline distT="114300" distB="114300" distL="114300" distR="114300" wp14:anchorId="0CCA3D50" wp14:editId="459ED1F8">
            <wp:extent cx="5731200" cy="3327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2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E22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Mira Solves, Jose Joaquin" w:date="2024-03-06T14:47:00Z" w:initials="JM">
    <w:p w14:paraId="434C5F48" w14:textId="77777777" w:rsidR="00A42C71" w:rsidRDefault="00A42C71" w:rsidP="00A42C71">
      <w:pPr>
        <w:jc w:val="left"/>
      </w:pPr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Alicia has been working on this issue</w:t>
      </w:r>
    </w:p>
  </w:comment>
  <w:comment w:id="6" w:author="Mira Solves, Jose Joaquin" w:date="2024-03-06T14:47:00Z" w:initials="JM">
    <w:p w14:paraId="452AAEF3" w14:textId="79A94E49" w:rsidR="00A42C71" w:rsidRDefault="00A42C71" w:rsidP="00A42C71">
      <w:pPr>
        <w:jc w:val="left"/>
      </w:pPr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Registered in OSF?</w:t>
      </w:r>
    </w:p>
  </w:comment>
  <w:comment w:id="11" w:author="Mira Solves, Jose Joaquin" w:date="2024-03-06T14:49:00Z" w:initials="JM">
    <w:p w14:paraId="6F2D47FE" w14:textId="77777777" w:rsidR="00A42C71" w:rsidRDefault="00A42C71" w:rsidP="00A42C71">
      <w:pPr>
        <w:jc w:val="left"/>
      </w:pPr>
      <w:r>
        <w:rPr>
          <w:rStyle w:val="Refdecomentario"/>
        </w:rPr>
        <w:annotationRef/>
      </w:r>
      <w:r>
        <w:rPr>
          <w:sz w:val="20"/>
          <w:szCs w:val="20"/>
        </w:rPr>
        <w:t>Emergencies and catastrophe responses as well????</w:t>
      </w:r>
    </w:p>
  </w:comment>
  <w:comment w:id="14" w:author="Mira Solves, Jose Joaquin" w:date="2024-03-06T14:53:00Z" w:initials="JM">
    <w:p w14:paraId="78D78D69" w14:textId="77777777" w:rsidR="00A42C71" w:rsidRDefault="00A42C71" w:rsidP="00A42C71">
      <w:pPr>
        <w:jc w:val="left"/>
      </w:pPr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In the case of our own language it is not necessary, ????</w:t>
      </w:r>
    </w:p>
  </w:comment>
  <w:comment w:id="17" w:author="Mira Solves, Jose Joaquin" w:date="2024-03-06T14:54:00Z" w:initials="JM">
    <w:p w14:paraId="562518BC" w14:textId="77777777" w:rsidR="00A42C71" w:rsidRDefault="00A42C71" w:rsidP="00A42C71">
      <w:pPr>
        <w:jc w:val="left"/>
      </w:pPr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Empirical studies?</w:t>
      </w:r>
    </w:p>
  </w:comment>
  <w:comment w:id="27" w:author="Mira Solves, Jose Joaquin" w:date="2024-03-06T14:57:00Z" w:initials="JM">
    <w:p w14:paraId="7CD69FCF" w14:textId="77777777" w:rsidR="00CF458D" w:rsidRDefault="00CF458D" w:rsidP="00CF458D">
      <w:pPr>
        <w:jc w:val="left"/>
      </w:pPr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They are health care professionals, I have some doubts about it.</w:t>
      </w:r>
    </w:p>
  </w:comment>
  <w:comment w:id="29" w:author="Mira Solves, Jose Joaquin" w:date="2024-03-06T14:57:00Z" w:initials="JM">
    <w:p w14:paraId="26763819" w14:textId="3E3031A4" w:rsidR="00A42C71" w:rsidRDefault="00A42C71" w:rsidP="00A42C71">
      <w:pPr>
        <w:jc w:val="left"/>
      </w:pPr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I’m not sure if students should be included. There are some other studies related to it and they are future professionals in the sector which is avoided here.</w:t>
      </w:r>
    </w:p>
  </w:comment>
  <w:comment w:id="31" w:author="Mira Solves, Jose Joaquin" w:date="2024-03-06T14:58:00Z" w:initials="JM">
    <w:p w14:paraId="59ED3DDD" w14:textId="77777777" w:rsidR="00CF458D" w:rsidRDefault="00CF458D" w:rsidP="00CF458D">
      <w:pPr>
        <w:jc w:val="left"/>
      </w:pPr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Healthcare providers!!!</w:t>
      </w:r>
    </w:p>
  </w:comment>
  <w:comment w:id="35" w:author="Mira Solves, Jose Joaquin" w:date="2024-03-06T14:59:00Z" w:initials="JM">
    <w:p w14:paraId="5252D869" w14:textId="77777777" w:rsidR="00CF458D" w:rsidRDefault="00CF458D" w:rsidP="00CF458D">
      <w:pPr>
        <w:jc w:val="left"/>
      </w:pPr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Human factor causes common experiences across diverse context… Aviation PAPI intervention program and other similarities although there are not published jet</w:t>
      </w:r>
    </w:p>
  </w:comment>
  <w:comment w:id="36" w:author="Mira Solves, Jose Joaquin" w:date="2024-03-06T15:00:00Z" w:initials="JM">
    <w:p w14:paraId="096356F3" w14:textId="77777777" w:rsidR="00CF458D" w:rsidRPr="00386D59" w:rsidRDefault="00CF458D" w:rsidP="00CF458D">
      <w:pPr>
        <w:jc w:val="left"/>
        <w:rPr>
          <w:rStyle w:val="Hipervnculo"/>
        </w:rPr>
      </w:pPr>
      <w:r>
        <w:rPr>
          <w:rStyle w:val="Refdecomentario"/>
        </w:rPr>
        <w:annotationRef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"https://sepla.es/iniciativas/programa-papi/#:~:text=El%20Programa%20PAPI%20es%20una,problemas%20de%20la%20vida%20cotidiana."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86D59">
        <w:rPr>
          <w:rStyle w:val="Hipervnculo"/>
          <w:sz w:val="20"/>
          <w:szCs w:val="20"/>
        </w:rPr>
        <w:t>https://sepla.es/iniciativas/programa-papi/#:~:text=El%20Programa%20PAPI%20es%20una,problemas%20de%20la%20vida%20cotidiana.</w:t>
      </w:r>
    </w:p>
    <w:p w14:paraId="7DE22370" w14:textId="77777777" w:rsidR="00CF458D" w:rsidRDefault="00CF458D" w:rsidP="00CF458D">
      <w:pPr>
        <w:jc w:val="left"/>
      </w:pPr>
      <w:r>
        <w:rPr>
          <w:sz w:val="20"/>
          <w:szCs w:val="20"/>
        </w:rPr>
        <w:fldChar w:fldCharType="end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4C5F48" w15:done="0"/>
  <w15:commentEx w15:paraId="452AAEF3" w15:done="0"/>
  <w15:commentEx w15:paraId="6F2D47FE" w15:done="0"/>
  <w15:commentEx w15:paraId="78D78D69" w15:done="0"/>
  <w15:commentEx w15:paraId="562518BC" w15:done="0"/>
  <w15:commentEx w15:paraId="7CD69FCF" w15:done="0"/>
  <w15:commentEx w15:paraId="26763819" w15:done="0"/>
  <w15:commentEx w15:paraId="59ED3DDD" w15:done="0"/>
  <w15:commentEx w15:paraId="5252D869" w15:done="0"/>
  <w15:commentEx w15:paraId="7DE223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E3467A8" w16cex:dateUtc="2024-03-06T19:47:00Z"/>
  <w16cex:commentExtensible w16cex:durableId="716E00A7" w16cex:dateUtc="2024-03-06T19:47:00Z"/>
  <w16cex:commentExtensible w16cex:durableId="775C57A1" w16cex:dateUtc="2024-03-06T19:49:00Z"/>
  <w16cex:commentExtensible w16cex:durableId="53A8928B" w16cex:dateUtc="2024-03-06T19:53:00Z"/>
  <w16cex:commentExtensible w16cex:durableId="309D6528" w16cex:dateUtc="2024-03-06T19:54:00Z"/>
  <w16cex:commentExtensible w16cex:durableId="6296EF87" w16cex:dateUtc="2024-03-06T19:57:00Z"/>
  <w16cex:commentExtensible w16cex:durableId="74B6C001" w16cex:dateUtc="2024-03-06T19:57:00Z"/>
  <w16cex:commentExtensible w16cex:durableId="7C28DD0D" w16cex:dateUtc="2024-03-06T19:58:00Z"/>
  <w16cex:commentExtensible w16cex:durableId="22FE49C2" w16cex:dateUtc="2024-03-06T19:59:00Z"/>
  <w16cex:commentExtensible w16cex:durableId="373CD6B9" w16cex:dateUtc="2024-03-06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C5F48" w16cid:durableId="0E3467A8"/>
  <w16cid:commentId w16cid:paraId="452AAEF3" w16cid:durableId="716E00A7"/>
  <w16cid:commentId w16cid:paraId="6F2D47FE" w16cid:durableId="775C57A1"/>
  <w16cid:commentId w16cid:paraId="78D78D69" w16cid:durableId="53A8928B"/>
  <w16cid:commentId w16cid:paraId="562518BC" w16cid:durableId="309D6528"/>
  <w16cid:commentId w16cid:paraId="7CD69FCF" w16cid:durableId="6296EF87"/>
  <w16cid:commentId w16cid:paraId="26763819" w16cid:durableId="74B6C001"/>
  <w16cid:commentId w16cid:paraId="59ED3DDD" w16cid:durableId="7C28DD0D"/>
  <w16cid:commentId w16cid:paraId="5252D869" w16cid:durableId="22FE49C2"/>
  <w16cid:commentId w16cid:paraId="7DE22370" w16cid:durableId="373CD6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IX Two Text">
    <w:panose1 w:val="00000000000000000000"/>
    <w:charset w:val="00"/>
    <w:family w:val="auto"/>
    <w:pitch w:val="variable"/>
    <w:sig w:usb0="A00002FF" w:usb1="0000001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a Solves, Jose Joaquin">
    <w15:presenceInfo w15:providerId="AD" w15:userId="S::jose.mira@miumh.umh.es::239592f1-26a1-4ed3-b52c-fd16d44f51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49"/>
    <w:rsid w:val="00A42C71"/>
    <w:rsid w:val="00B45139"/>
    <w:rsid w:val="00CF458D"/>
    <w:rsid w:val="00F53171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DA6D1"/>
  <w15:docId w15:val="{E77FB6F0-51DD-E743-B71F-F643FD9C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TIX Two Text" w:eastAsia="STIX Two Text" w:hAnsi="STIX Two Text" w:cs="STIX Two Text"/>
        <w:sz w:val="24"/>
        <w:szCs w:val="24"/>
        <w:lang w:val="it" w:eastAsia="es-ES_tradn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line="276" w:lineRule="auto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line="276" w:lineRule="auto"/>
      <w:jc w:val="left"/>
    </w:pPr>
    <w:rPr>
      <w:b/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line="276" w:lineRule="auto"/>
    </w:pPr>
    <w:rPr>
      <w:i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42C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C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C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2C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2C7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F458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4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EB195B-3DA0-CA43-93A3-D26B8BF5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3651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 Solves, Jose Joaquin</cp:lastModifiedBy>
  <cp:revision>2</cp:revision>
  <dcterms:created xsi:type="dcterms:W3CDTF">2024-03-06T20:05:00Z</dcterms:created>
  <dcterms:modified xsi:type="dcterms:W3CDTF">2024-03-06T20:05:00Z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allpureddy  2023">
    <vt:lpwstr>Thallpureddy  2023</vt:lpwstr>
  </property>
</Properties>
</file>